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31EA47">
      <w:pPr>
        <w:spacing w:line="2310" w:lineRule="exact"/>
        <w:ind w:firstLine="2982"/>
      </w:pPr>
      <w:r>
        <w:rPr>
          <w:rFonts w:hint="eastAsia" w:eastAsia="黑体"/>
          <w:sz w:val="48"/>
        </w:rPr>
        <w:drawing>
          <wp:anchor distT="0" distB="0" distL="114300" distR="114300" simplePos="0" relativeHeight="251659264" behindDoc="1" locked="0" layoutInCell="1" allowOverlap="1">
            <wp:simplePos x="0" y="0"/>
            <wp:positionH relativeFrom="column">
              <wp:posOffset>2494280</wp:posOffset>
            </wp:positionH>
            <wp:positionV relativeFrom="paragraph">
              <wp:posOffset>156210</wp:posOffset>
            </wp:positionV>
            <wp:extent cx="1393190" cy="1337310"/>
            <wp:effectExtent l="0" t="0" r="0" b="0"/>
            <wp:wrapNone/>
            <wp:docPr id="1" name="图片 1" descr="华鼎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华鼎标"/>
                    <pic:cNvPicPr>
                      <a:picLocks noChangeAspect="1"/>
                    </pic:cNvPicPr>
                  </pic:nvPicPr>
                  <pic:blipFill>
                    <a:blip r:embed="rId6"/>
                    <a:stretch>
                      <a:fillRect/>
                    </a:stretch>
                  </pic:blipFill>
                  <pic:spPr>
                    <a:xfrm>
                      <a:off x="0" y="0"/>
                      <a:ext cx="1393190" cy="1337310"/>
                    </a:xfrm>
                    <a:prstGeom prst="rect">
                      <a:avLst/>
                    </a:prstGeom>
                    <a:noFill/>
                    <a:ln>
                      <a:noFill/>
                    </a:ln>
                  </pic:spPr>
                </pic:pic>
              </a:graphicData>
            </a:graphic>
          </wp:anchor>
        </w:drawing>
      </w:r>
    </w:p>
    <w:p w14:paraId="7F66D69B">
      <w:pPr>
        <w:spacing w:line="306" w:lineRule="auto"/>
        <w:rPr>
          <w:rFonts w:ascii="Arial"/>
          <w:sz w:val="21"/>
        </w:rPr>
      </w:pPr>
    </w:p>
    <w:p w14:paraId="3A5076FF">
      <w:pPr>
        <w:pStyle w:val="4"/>
        <w:spacing w:before="156" w:line="233" w:lineRule="auto"/>
        <w:ind w:left="3166" w:right="1168" w:hanging="1800"/>
        <w:outlineLvl w:val="0"/>
        <w:rPr>
          <w:sz w:val="48"/>
          <w:szCs w:val="48"/>
        </w:rPr>
      </w:pPr>
      <w:r>
        <w:rPr>
          <w:rFonts w:hint="eastAsia"/>
          <w:spacing w:val="-25"/>
          <w:sz w:val="48"/>
          <w:szCs w:val="48"/>
          <w:lang w:eastAsia="zh-CN"/>
        </w:rPr>
        <w:t>华鼎四海（北京）认证有限公司</w:t>
      </w:r>
      <w:r>
        <w:rPr>
          <w:spacing w:val="-3"/>
          <w:sz w:val="48"/>
          <w:szCs w:val="48"/>
        </w:rPr>
        <w:t>技术性作业文件</w:t>
      </w:r>
    </w:p>
    <w:p w14:paraId="0EE1D479">
      <w:pPr>
        <w:spacing w:line="272" w:lineRule="auto"/>
        <w:rPr>
          <w:rFonts w:ascii="Arial"/>
          <w:sz w:val="21"/>
        </w:rPr>
      </w:pPr>
    </w:p>
    <w:p w14:paraId="64B915C2">
      <w:pPr>
        <w:spacing w:before="101" w:line="224" w:lineRule="auto"/>
        <w:ind w:left="2538"/>
        <w:rPr>
          <w:rFonts w:ascii="黑体" w:hAnsi="黑体" w:eastAsia="黑体" w:cs="黑体"/>
          <w:sz w:val="31"/>
          <w:szCs w:val="31"/>
        </w:rPr>
      </w:pPr>
      <w:r>
        <w:rPr>
          <w:rFonts w:ascii="黑体" w:hAnsi="黑体" w:eastAsia="黑体" w:cs="黑体"/>
          <w:spacing w:val="9"/>
          <w:sz w:val="31"/>
          <w:szCs w:val="31"/>
        </w:rPr>
        <w:t>批发零售业和售后服务认证实施规则</w:t>
      </w:r>
    </w:p>
    <w:p w14:paraId="09613003">
      <w:pPr>
        <w:spacing w:line="363" w:lineRule="auto"/>
        <w:rPr>
          <w:rFonts w:ascii="Arial"/>
          <w:sz w:val="21"/>
        </w:rPr>
      </w:pPr>
    </w:p>
    <w:p w14:paraId="062EE9A9">
      <w:pPr>
        <w:pStyle w:val="4"/>
        <w:spacing w:before="91" w:line="218" w:lineRule="auto"/>
        <w:ind w:left="2541"/>
      </w:pPr>
      <w:r>
        <w:rPr>
          <w:spacing w:val="-3"/>
        </w:rPr>
        <w:t>编</w:t>
      </w:r>
      <w:r>
        <w:rPr>
          <w:spacing w:val="6"/>
        </w:rPr>
        <w:t xml:space="preserve">    </w:t>
      </w:r>
      <w:r>
        <w:rPr>
          <w:spacing w:val="-3"/>
        </w:rPr>
        <w:t>号：</w:t>
      </w:r>
      <w:r>
        <w:rPr>
          <w:spacing w:val="-3"/>
          <w:u w:val="single" w:color="auto"/>
        </w:rPr>
        <w:t xml:space="preserve">  </w:t>
      </w:r>
      <w:r>
        <w:rPr>
          <w:rFonts w:hint="eastAsia"/>
          <w:spacing w:val="-3"/>
          <w:u w:val="single" w:color="auto"/>
          <w:lang w:val="en-US" w:eastAsia="zh-CN"/>
        </w:rPr>
        <w:t>HD-F-SC01-01/2025A</w:t>
      </w:r>
      <w:r>
        <w:rPr>
          <w:u w:val="single" w:color="auto"/>
        </w:rPr>
        <w:t xml:space="preserve">   </w:t>
      </w:r>
    </w:p>
    <w:p w14:paraId="3B98D4B3">
      <w:pPr>
        <w:spacing w:line="377" w:lineRule="auto"/>
        <w:rPr>
          <w:rFonts w:ascii="Arial"/>
          <w:sz w:val="21"/>
        </w:rPr>
      </w:pPr>
    </w:p>
    <w:p w14:paraId="5EC44BE2">
      <w:pPr>
        <w:pStyle w:val="4"/>
        <w:spacing w:before="91" w:line="218" w:lineRule="auto"/>
        <w:ind w:left="2530"/>
        <w:rPr>
          <w:rFonts w:ascii="宋体" w:hAnsi="宋体" w:eastAsia="宋体" w:cs="宋体"/>
        </w:rPr>
      </w:pPr>
      <w:r>
        <w:rPr>
          <w:spacing w:val="-15"/>
        </w:rPr>
        <w:t>版本</w:t>
      </w:r>
      <w:r>
        <w:rPr>
          <w:rFonts w:ascii="宋体" w:hAnsi="宋体" w:eastAsia="宋体" w:cs="宋体"/>
          <w:spacing w:val="-15"/>
        </w:rPr>
        <w:t>/</w:t>
      </w:r>
      <w:r>
        <w:rPr>
          <w:spacing w:val="-15"/>
        </w:rPr>
        <w:t xml:space="preserve">修改： </w:t>
      </w:r>
      <w:r>
        <w:rPr>
          <w:rFonts w:ascii="宋体" w:hAnsi="宋体" w:eastAsia="宋体" w:cs="宋体"/>
          <w:spacing w:val="1"/>
          <w:u w:val="single" w:color="auto"/>
        </w:rPr>
        <w:t xml:space="preserve">     </w:t>
      </w:r>
      <w:r>
        <w:rPr>
          <w:rFonts w:ascii="宋体" w:hAnsi="宋体" w:eastAsia="宋体" w:cs="宋体"/>
          <w:spacing w:val="-15"/>
          <w:u w:val="single" w:color="auto"/>
        </w:rPr>
        <w:t>A/</w:t>
      </w:r>
      <w:r>
        <w:rPr>
          <w:rFonts w:hint="eastAsia" w:ascii="宋体" w:hAnsi="宋体" w:eastAsia="宋体" w:cs="宋体"/>
          <w:spacing w:val="-15"/>
          <w:u w:val="single" w:color="auto"/>
          <w:lang w:val="en-US" w:eastAsia="zh-CN"/>
        </w:rPr>
        <w:t>3</w:t>
      </w:r>
      <w:r>
        <w:rPr>
          <w:rFonts w:ascii="宋体" w:hAnsi="宋体" w:eastAsia="宋体" w:cs="宋体"/>
          <w:u w:val="single" w:color="auto"/>
        </w:rPr>
        <w:t xml:space="preserve">    </w:t>
      </w:r>
    </w:p>
    <w:p w14:paraId="58BC04B8">
      <w:pPr>
        <w:spacing w:line="375" w:lineRule="auto"/>
        <w:rPr>
          <w:rFonts w:ascii="Arial"/>
          <w:sz w:val="21"/>
        </w:rPr>
      </w:pPr>
    </w:p>
    <w:p w14:paraId="1FF1FC99">
      <w:pPr>
        <w:pStyle w:val="4"/>
        <w:spacing w:before="91" w:line="527" w:lineRule="auto"/>
        <w:ind w:left="2555"/>
      </w:pPr>
      <w:r>
        <w:rPr>
          <w:spacing w:val="-6"/>
        </w:rPr>
        <w:t>受控状态：</w:t>
      </w:r>
      <w:r>
        <w:rPr>
          <w:spacing w:val="-6"/>
          <w:u w:val="single" w:color="auto"/>
        </w:rPr>
        <w:t xml:space="preserve">    </w:t>
      </w:r>
      <w:r>
        <w:rPr>
          <w:spacing w:val="-109"/>
          <w:u w:val="single" w:color="FF0000"/>
        </w:rPr>
        <w:t xml:space="preserve"> </w:t>
      </w:r>
      <w:r>
        <w:rPr>
          <w:color w:val="FF0000"/>
          <w:spacing w:val="-6"/>
          <w:u w:val="single" w:color="auto"/>
        </w:rPr>
        <w:t>受</w:t>
      </w:r>
      <w:r>
        <w:rPr>
          <w:color w:val="FF0000"/>
          <w:spacing w:val="2"/>
          <w:u w:val="single" w:color="auto"/>
        </w:rPr>
        <w:t xml:space="preserve">  </w:t>
      </w:r>
      <w:r>
        <w:rPr>
          <w:color w:val="FF0000"/>
          <w:spacing w:val="-6"/>
          <w:u w:val="single" w:color="auto"/>
        </w:rPr>
        <w:t>控</w:t>
      </w:r>
      <w:r>
        <w:rPr>
          <w:color w:val="FF0000"/>
          <w:u w:val="single" w:color="000000"/>
        </w:rPr>
        <w:t xml:space="preserve">      </w:t>
      </w:r>
    </w:p>
    <w:p w14:paraId="20BFE29B">
      <w:pPr>
        <w:pStyle w:val="4"/>
        <w:spacing w:before="2" w:line="217" w:lineRule="auto"/>
        <w:ind w:left="2540"/>
        <w:rPr>
          <w:rFonts w:ascii="宋体" w:hAnsi="宋体" w:eastAsia="宋体" w:cs="宋体"/>
        </w:rPr>
      </w:pPr>
      <w:r>
        <w:rPr>
          <w:spacing w:val="-14"/>
        </w:rPr>
        <w:t>分</w:t>
      </w:r>
      <w:r>
        <w:rPr>
          <w:spacing w:val="24"/>
        </w:rPr>
        <w:t xml:space="preserve"> </w:t>
      </w:r>
      <w:r>
        <w:rPr>
          <w:spacing w:val="-14"/>
        </w:rPr>
        <w:t>发</w:t>
      </w:r>
      <w:r>
        <w:rPr>
          <w:spacing w:val="16"/>
        </w:rPr>
        <w:t xml:space="preserve"> </w:t>
      </w:r>
      <w:r>
        <w:rPr>
          <w:spacing w:val="-14"/>
        </w:rPr>
        <w:t>号：</w:t>
      </w:r>
      <w:r>
        <w:rPr>
          <w:rFonts w:ascii="宋体" w:hAnsi="宋体" w:eastAsia="宋体" w:cs="宋体"/>
          <w:spacing w:val="4"/>
          <w:u w:val="single" w:color="auto"/>
        </w:rPr>
        <w:t xml:space="preserve">      </w:t>
      </w:r>
      <w:r>
        <w:rPr>
          <w:rFonts w:hint="eastAsia" w:ascii="宋体" w:hAnsi="宋体" w:eastAsia="宋体" w:cs="宋体"/>
          <w:spacing w:val="4"/>
          <w:u w:val="single" w:color="auto"/>
          <w:lang w:val="en-US" w:eastAsia="zh-CN"/>
        </w:rPr>
        <w:t>0</w:t>
      </w:r>
      <w:r>
        <w:rPr>
          <w:rFonts w:hint="eastAsia" w:ascii="宋体" w:hAnsi="宋体" w:eastAsia="宋体" w:cs="宋体"/>
          <w:spacing w:val="-14"/>
          <w:u w:val="single" w:color="000000"/>
          <w:lang w:val="en-US" w:eastAsia="zh-CN"/>
          <w14:textOutline w14:w="5094" w14:cap="flat" w14:cmpd="sng">
            <w14:solidFill>
              <w14:srgbClr w14:val="000000"/>
            </w14:solidFill>
            <w14:prstDash w14:val="solid"/>
            <w14:miter w14:val="0"/>
          </w14:textOutline>
        </w:rPr>
        <w:t>1</w:t>
      </w:r>
      <w:r>
        <w:rPr>
          <w:rFonts w:ascii="宋体" w:hAnsi="宋体" w:eastAsia="宋体" w:cs="宋体"/>
          <w:u w:val="single" w:color="auto"/>
        </w:rPr>
        <w:t xml:space="preserve">      </w:t>
      </w:r>
    </w:p>
    <w:p w14:paraId="681C17FD">
      <w:pPr>
        <w:spacing w:before="81"/>
      </w:pPr>
    </w:p>
    <w:p w14:paraId="40533367">
      <w:pPr>
        <w:spacing w:before="81"/>
      </w:pPr>
    </w:p>
    <w:tbl>
      <w:tblPr>
        <w:tblStyle w:val="9"/>
        <w:tblW w:w="946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98"/>
        <w:gridCol w:w="1260"/>
        <w:gridCol w:w="1156"/>
        <w:gridCol w:w="2608"/>
        <w:gridCol w:w="2447"/>
      </w:tblGrid>
      <w:tr w14:paraId="120AB4BA">
        <w:trPr>
          <w:trHeight w:val="661" w:hRule="atLeast"/>
        </w:trPr>
        <w:tc>
          <w:tcPr>
            <w:tcW w:w="1998" w:type="dxa"/>
            <w:vAlign w:val="top"/>
          </w:tcPr>
          <w:p w14:paraId="7549568E">
            <w:pPr>
              <w:spacing w:before="189" w:line="219" w:lineRule="auto"/>
              <w:ind w:left="738"/>
              <w:rPr>
                <w:rFonts w:ascii="FangSong" w:hAnsi="FangSong" w:eastAsia="FangSong" w:cs="FangSong"/>
                <w:sz w:val="28"/>
                <w:szCs w:val="28"/>
              </w:rPr>
            </w:pPr>
            <w:r>
              <w:rPr>
                <w:rFonts w:ascii="FangSong" w:hAnsi="FangSong" w:eastAsia="FangSong" w:cs="FangSong"/>
                <w:spacing w:val="-5"/>
                <w:sz w:val="28"/>
                <w:szCs w:val="28"/>
              </w:rPr>
              <w:t>编修</w:t>
            </w:r>
          </w:p>
        </w:tc>
        <w:tc>
          <w:tcPr>
            <w:tcW w:w="1260" w:type="dxa"/>
            <w:vAlign w:val="top"/>
          </w:tcPr>
          <w:p w14:paraId="0646F573">
            <w:pPr>
              <w:spacing w:before="189" w:line="219" w:lineRule="auto"/>
              <w:ind w:left="390"/>
              <w:rPr>
                <w:rFonts w:ascii="FangSong" w:hAnsi="FangSong" w:eastAsia="FangSong" w:cs="FangSong"/>
                <w:sz w:val="28"/>
                <w:szCs w:val="28"/>
              </w:rPr>
            </w:pPr>
            <w:r>
              <w:rPr>
                <w:rFonts w:ascii="FangSong" w:hAnsi="FangSong" w:eastAsia="FangSong" w:cs="FangSong"/>
                <w:spacing w:val="-10"/>
                <w:sz w:val="28"/>
                <w:szCs w:val="28"/>
              </w:rPr>
              <w:t>审核</w:t>
            </w:r>
          </w:p>
        </w:tc>
        <w:tc>
          <w:tcPr>
            <w:tcW w:w="1156" w:type="dxa"/>
            <w:vAlign w:val="top"/>
          </w:tcPr>
          <w:p w14:paraId="223E6366">
            <w:pPr>
              <w:spacing w:before="189" w:line="219" w:lineRule="auto"/>
              <w:ind w:left="315"/>
              <w:rPr>
                <w:rFonts w:ascii="FangSong" w:hAnsi="FangSong" w:eastAsia="FangSong" w:cs="FangSong"/>
                <w:sz w:val="28"/>
                <w:szCs w:val="28"/>
              </w:rPr>
            </w:pPr>
            <w:r>
              <w:rPr>
                <w:rFonts w:ascii="FangSong" w:hAnsi="FangSong" w:eastAsia="FangSong" w:cs="FangSong"/>
                <w:spacing w:val="-5"/>
                <w:sz w:val="28"/>
                <w:szCs w:val="28"/>
              </w:rPr>
              <w:t>批准</w:t>
            </w:r>
          </w:p>
        </w:tc>
        <w:tc>
          <w:tcPr>
            <w:tcW w:w="2608" w:type="dxa"/>
            <w:vAlign w:val="top"/>
          </w:tcPr>
          <w:p w14:paraId="09F696B2">
            <w:pPr>
              <w:spacing w:before="189" w:line="219" w:lineRule="auto"/>
              <w:ind w:left="412"/>
              <w:rPr>
                <w:rFonts w:ascii="FangSong" w:hAnsi="FangSong" w:eastAsia="FangSong" w:cs="FangSong"/>
                <w:sz w:val="28"/>
                <w:szCs w:val="28"/>
              </w:rPr>
            </w:pPr>
            <w:r>
              <w:rPr>
                <w:rFonts w:ascii="FangSong" w:hAnsi="FangSong" w:eastAsia="FangSong" w:cs="FangSong"/>
                <w:spacing w:val="-3"/>
                <w:sz w:val="28"/>
                <w:szCs w:val="28"/>
              </w:rPr>
              <w:t>编写/修改日期</w:t>
            </w:r>
          </w:p>
        </w:tc>
        <w:tc>
          <w:tcPr>
            <w:tcW w:w="2447" w:type="dxa"/>
            <w:vAlign w:val="top"/>
          </w:tcPr>
          <w:p w14:paraId="572FE77F">
            <w:pPr>
              <w:spacing w:before="191" w:line="219" w:lineRule="auto"/>
              <w:ind w:left="694"/>
              <w:rPr>
                <w:rFonts w:ascii="FangSong" w:hAnsi="FangSong" w:eastAsia="FangSong" w:cs="FangSong"/>
                <w:sz w:val="28"/>
                <w:szCs w:val="28"/>
              </w:rPr>
            </w:pPr>
            <w:r>
              <w:rPr>
                <w:rFonts w:ascii="FangSong" w:hAnsi="FangSong" w:eastAsia="FangSong" w:cs="FangSong"/>
                <w:spacing w:val="-6"/>
                <w:sz w:val="28"/>
                <w:szCs w:val="28"/>
              </w:rPr>
              <w:t>生效日期</w:t>
            </w:r>
          </w:p>
        </w:tc>
      </w:tr>
      <w:tr w14:paraId="28F5AF8E">
        <w:trPr>
          <w:trHeight w:val="712" w:hRule="atLeast"/>
        </w:trPr>
        <w:tc>
          <w:tcPr>
            <w:tcW w:w="1998" w:type="dxa"/>
            <w:shd w:val="clear" w:color="auto" w:fill="auto"/>
            <w:vAlign w:val="center"/>
          </w:tcPr>
          <w:p w14:paraId="4EF6D603">
            <w:pPr>
              <w:jc w:val="center"/>
              <w:rPr>
                <w:rFonts w:hint="eastAsia" w:ascii="宋体" w:hAnsi="宋体" w:eastAsia="宋体" w:cs="宋体"/>
                <w:snapToGrid w:val="0"/>
                <w:color w:val="000000"/>
                <w:kern w:val="0"/>
                <w:sz w:val="28"/>
                <w:szCs w:val="28"/>
                <w:lang w:val="en-US" w:eastAsia="zh-CN" w:bidi="ar-SA"/>
              </w:rPr>
            </w:pPr>
            <w:bookmarkStart w:id="5" w:name="_GoBack" w:colFirst="1" w:colLast="2"/>
            <w:r>
              <w:rPr>
                <w:rFonts w:hint="eastAsia" w:ascii="宋体" w:hAnsi="宋体" w:eastAsia="宋体" w:cs="宋体"/>
                <w:szCs w:val="21"/>
                <w:lang w:val="en-US" w:eastAsia="zh-CN"/>
              </w:rPr>
              <w:t>A</w:t>
            </w:r>
            <w:r>
              <w:rPr>
                <w:rFonts w:hint="eastAsia" w:ascii="宋体" w:hAnsi="宋体" w:cs="宋体"/>
                <w:szCs w:val="21"/>
              </w:rPr>
              <w:t>/</w:t>
            </w:r>
            <w:r>
              <w:rPr>
                <w:rFonts w:hint="eastAsia" w:ascii="宋体" w:hAnsi="宋体" w:eastAsia="宋体" w:cs="宋体"/>
                <w:szCs w:val="21"/>
                <w:lang w:val="en-US" w:eastAsia="zh-CN"/>
              </w:rPr>
              <w:t>0</w:t>
            </w:r>
          </w:p>
        </w:tc>
        <w:tc>
          <w:tcPr>
            <w:tcW w:w="1260" w:type="dxa"/>
            <w:shd w:val="clear" w:color="auto" w:fill="auto"/>
            <w:vAlign w:val="center"/>
          </w:tcPr>
          <w:p w14:paraId="5B31CA9E">
            <w:pPr>
              <w:jc w:val="center"/>
              <w:rPr>
                <w:rFonts w:hint="eastAsia" w:ascii="宋体" w:hAnsi="宋体" w:cs="宋体"/>
                <w:szCs w:val="21"/>
                <w:lang w:val="en-US" w:eastAsia="en-US"/>
              </w:rPr>
            </w:pPr>
            <w:r>
              <w:rPr>
                <w:rFonts w:hint="eastAsia" w:ascii="宋体" w:hAnsi="宋体" w:cs="宋体"/>
                <w:szCs w:val="21"/>
              </w:rPr>
              <w:t>毛尧</w:t>
            </w:r>
          </w:p>
        </w:tc>
        <w:tc>
          <w:tcPr>
            <w:tcW w:w="1156" w:type="dxa"/>
            <w:shd w:val="clear" w:color="auto" w:fill="auto"/>
            <w:vAlign w:val="center"/>
          </w:tcPr>
          <w:p w14:paraId="28C70BFD">
            <w:pPr>
              <w:jc w:val="center"/>
              <w:rPr>
                <w:rFonts w:hint="eastAsia" w:ascii="宋体" w:hAnsi="宋体" w:cs="宋体"/>
                <w:szCs w:val="21"/>
                <w:lang w:val="en-US" w:eastAsia="en-US"/>
              </w:rPr>
            </w:pPr>
            <w:r>
              <w:rPr>
                <w:rFonts w:hint="eastAsia" w:ascii="宋体" w:hAnsi="宋体" w:cs="宋体"/>
                <w:szCs w:val="21"/>
              </w:rPr>
              <w:t>高飞</w:t>
            </w:r>
          </w:p>
        </w:tc>
        <w:tc>
          <w:tcPr>
            <w:tcW w:w="2608" w:type="dxa"/>
            <w:shd w:val="clear" w:color="auto" w:fill="auto"/>
            <w:vAlign w:val="center"/>
          </w:tcPr>
          <w:p w14:paraId="2999EC8D">
            <w:pPr>
              <w:jc w:val="center"/>
              <w:rPr>
                <w:rFonts w:ascii="宋体" w:hAnsi="宋体" w:eastAsia="Arial" w:cs="宋体"/>
                <w:snapToGrid w:val="0"/>
                <w:color w:val="000000"/>
                <w:kern w:val="0"/>
                <w:sz w:val="28"/>
                <w:szCs w:val="28"/>
                <w:lang w:val="en-US" w:eastAsia="en-US" w:bidi="ar-SA"/>
              </w:rPr>
            </w:pPr>
            <w:r>
              <w:rPr>
                <w:rFonts w:hint="eastAsia" w:ascii="宋体" w:hAnsi="宋体" w:cs="宋体"/>
                <w:szCs w:val="21"/>
              </w:rPr>
              <w:t>202</w:t>
            </w:r>
            <w:r>
              <w:rPr>
                <w:rFonts w:hint="eastAsia" w:ascii="宋体" w:hAnsi="宋体" w:eastAsia="宋体" w:cs="宋体"/>
                <w:szCs w:val="21"/>
                <w:lang w:val="en-US" w:eastAsia="zh-CN"/>
              </w:rPr>
              <w:t>1</w:t>
            </w:r>
            <w:r>
              <w:rPr>
                <w:rFonts w:hint="eastAsia" w:ascii="宋体" w:hAnsi="宋体" w:cs="宋体"/>
                <w:szCs w:val="21"/>
              </w:rPr>
              <w:t>年</w:t>
            </w:r>
            <w:r>
              <w:rPr>
                <w:rFonts w:hint="eastAsia" w:ascii="宋体" w:hAnsi="宋体" w:eastAsia="宋体" w:cs="宋体"/>
                <w:szCs w:val="21"/>
                <w:lang w:val="en-US" w:eastAsia="zh-CN"/>
              </w:rPr>
              <w:t>3</w:t>
            </w:r>
            <w:r>
              <w:rPr>
                <w:rFonts w:hint="eastAsia" w:ascii="宋体" w:hAnsi="宋体" w:cs="宋体"/>
                <w:szCs w:val="21"/>
              </w:rPr>
              <w:t>月25日</w:t>
            </w:r>
          </w:p>
        </w:tc>
        <w:tc>
          <w:tcPr>
            <w:tcW w:w="2447" w:type="dxa"/>
            <w:shd w:val="clear" w:color="auto" w:fill="auto"/>
            <w:vAlign w:val="center"/>
          </w:tcPr>
          <w:p w14:paraId="09937EE3">
            <w:pPr>
              <w:jc w:val="center"/>
              <w:rPr>
                <w:rFonts w:ascii="宋体" w:hAnsi="宋体" w:eastAsia="Arial" w:cs="宋体"/>
                <w:snapToGrid w:val="0"/>
                <w:color w:val="000000"/>
                <w:kern w:val="0"/>
                <w:sz w:val="28"/>
                <w:szCs w:val="28"/>
                <w:lang w:val="en-US" w:eastAsia="en-US" w:bidi="ar-SA"/>
              </w:rPr>
            </w:pPr>
            <w:r>
              <w:rPr>
                <w:rFonts w:hint="eastAsia" w:ascii="宋体" w:hAnsi="宋体" w:cs="宋体"/>
                <w:szCs w:val="21"/>
              </w:rPr>
              <w:t>202</w:t>
            </w:r>
            <w:r>
              <w:rPr>
                <w:rFonts w:hint="eastAsia" w:ascii="宋体" w:hAnsi="宋体" w:eastAsia="宋体" w:cs="宋体"/>
                <w:szCs w:val="21"/>
                <w:lang w:val="en-US" w:eastAsia="zh-CN"/>
              </w:rPr>
              <w:t>1</w:t>
            </w:r>
            <w:r>
              <w:rPr>
                <w:rFonts w:hint="eastAsia" w:ascii="宋体" w:hAnsi="宋体" w:cs="宋体"/>
                <w:szCs w:val="21"/>
              </w:rPr>
              <w:t>年</w:t>
            </w:r>
            <w:r>
              <w:rPr>
                <w:rFonts w:hint="eastAsia" w:ascii="宋体" w:hAnsi="宋体" w:eastAsia="宋体" w:cs="宋体"/>
                <w:szCs w:val="21"/>
                <w:lang w:val="en-US" w:eastAsia="zh-CN"/>
              </w:rPr>
              <w:t>3</w:t>
            </w:r>
            <w:r>
              <w:rPr>
                <w:rFonts w:hint="eastAsia" w:ascii="宋体" w:hAnsi="宋体" w:cs="宋体"/>
                <w:szCs w:val="21"/>
              </w:rPr>
              <w:t>月25日</w:t>
            </w:r>
          </w:p>
        </w:tc>
      </w:tr>
      <w:tr w14:paraId="1F031129">
        <w:trPr>
          <w:trHeight w:val="714" w:hRule="atLeast"/>
        </w:trPr>
        <w:tc>
          <w:tcPr>
            <w:tcW w:w="1998" w:type="dxa"/>
            <w:shd w:val="clear" w:color="auto" w:fill="auto"/>
            <w:vAlign w:val="center"/>
          </w:tcPr>
          <w:p w14:paraId="0690D44A">
            <w:pPr>
              <w:jc w:val="center"/>
              <w:rPr>
                <w:rFonts w:hint="default" w:ascii="宋体" w:hAnsi="宋体" w:eastAsia="宋体" w:cs="宋体"/>
                <w:snapToGrid w:val="0"/>
                <w:color w:val="000000"/>
                <w:kern w:val="0"/>
                <w:sz w:val="28"/>
                <w:szCs w:val="28"/>
                <w:lang w:val="en-US" w:eastAsia="zh-CN" w:bidi="ar-SA"/>
              </w:rPr>
            </w:pPr>
            <w:r>
              <w:rPr>
                <w:rFonts w:hint="eastAsia" w:ascii="宋体" w:hAnsi="宋体" w:eastAsia="宋体" w:cs="宋体"/>
                <w:szCs w:val="21"/>
                <w:lang w:val="en-US" w:eastAsia="zh-CN"/>
              </w:rPr>
              <w:t>A</w:t>
            </w:r>
            <w:r>
              <w:rPr>
                <w:rFonts w:hint="eastAsia" w:ascii="宋体" w:hAnsi="宋体" w:cs="宋体"/>
                <w:szCs w:val="21"/>
              </w:rPr>
              <w:t>/</w:t>
            </w:r>
            <w:r>
              <w:rPr>
                <w:rFonts w:hint="eastAsia" w:ascii="宋体" w:hAnsi="宋体" w:eastAsia="宋体" w:cs="宋体"/>
                <w:szCs w:val="21"/>
                <w:lang w:val="en-US" w:eastAsia="zh-CN"/>
              </w:rPr>
              <w:t>1</w:t>
            </w:r>
          </w:p>
        </w:tc>
        <w:tc>
          <w:tcPr>
            <w:tcW w:w="1260" w:type="dxa"/>
            <w:shd w:val="clear" w:color="auto" w:fill="auto"/>
            <w:vAlign w:val="center"/>
          </w:tcPr>
          <w:p w14:paraId="6D1A7044">
            <w:pPr>
              <w:jc w:val="center"/>
              <w:rPr>
                <w:rFonts w:hint="eastAsia" w:ascii="宋体" w:hAnsi="宋体" w:cs="宋体"/>
                <w:szCs w:val="21"/>
                <w:lang w:val="en-US" w:eastAsia="en-US"/>
              </w:rPr>
            </w:pPr>
            <w:r>
              <w:rPr>
                <w:rFonts w:hint="eastAsia" w:ascii="宋体" w:hAnsi="宋体" w:cs="宋体"/>
                <w:szCs w:val="21"/>
                <w:lang w:val="en-US" w:eastAsia="en-US"/>
              </w:rPr>
              <w:t>毛尧</w:t>
            </w:r>
          </w:p>
        </w:tc>
        <w:tc>
          <w:tcPr>
            <w:tcW w:w="1156" w:type="dxa"/>
            <w:shd w:val="clear" w:color="auto" w:fill="auto"/>
            <w:vAlign w:val="center"/>
          </w:tcPr>
          <w:p w14:paraId="27506170">
            <w:pPr>
              <w:jc w:val="center"/>
              <w:rPr>
                <w:rFonts w:hint="eastAsia" w:ascii="宋体" w:hAnsi="宋体" w:cs="宋体"/>
                <w:szCs w:val="21"/>
                <w:lang w:val="en-US" w:eastAsia="en-US"/>
              </w:rPr>
            </w:pPr>
            <w:r>
              <w:rPr>
                <w:rFonts w:hint="eastAsia" w:ascii="宋体" w:hAnsi="宋体" w:cs="宋体"/>
                <w:szCs w:val="21"/>
                <w:lang w:val="en-US" w:eastAsia="en-US"/>
              </w:rPr>
              <w:t>高飞</w:t>
            </w:r>
          </w:p>
        </w:tc>
        <w:tc>
          <w:tcPr>
            <w:tcW w:w="2608" w:type="dxa"/>
            <w:shd w:val="clear" w:color="auto" w:fill="auto"/>
            <w:vAlign w:val="center"/>
          </w:tcPr>
          <w:p w14:paraId="03886C10">
            <w:pPr>
              <w:jc w:val="center"/>
              <w:rPr>
                <w:rFonts w:ascii="宋体" w:hAnsi="宋体" w:eastAsia="Arial" w:cs="宋体"/>
                <w:snapToGrid w:val="0"/>
                <w:color w:val="000000"/>
                <w:kern w:val="0"/>
                <w:sz w:val="28"/>
                <w:szCs w:val="28"/>
                <w:lang w:val="en-US" w:eastAsia="en-US" w:bidi="ar-SA"/>
              </w:rPr>
            </w:pPr>
            <w:r>
              <w:rPr>
                <w:rFonts w:hint="eastAsia" w:ascii="宋体" w:hAnsi="宋体" w:cs="宋体"/>
                <w:szCs w:val="21"/>
              </w:rPr>
              <w:t>202</w:t>
            </w:r>
            <w:r>
              <w:rPr>
                <w:rFonts w:hint="eastAsia" w:ascii="宋体" w:hAnsi="宋体" w:eastAsia="宋体" w:cs="宋体"/>
                <w:szCs w:val="21"/>
                <w:lang w:val="en-US" w:eastAsia="zh-CN"/>
              </w:rPr>
              <w:t>5</w:t>
            </w:r>
            <w:r>
              <w:rPr>
                <w:rFonts w:hint="eastAsia" w:ascii="宋体" w:hAnsi="宋体" w:cs="宋体"/>
                <w:szCs w:val="21"/>
              </w:rPr>
              <w:t>年</w:t>
            </w:r>
            <w:r>
              <w:rPr>
                <w:rFonts w:hint="eastAsia" w:ascii="宋体" w:hAnsi="宋体" w:eastAsia="宋体" w:cs="宋体"/>
                <w:szCs w:val="21"/>
                <w:lang w:val="en-US" w:eastAsia="zh-CN"/>
              </w:rPr>
              <w:t>5</w:t>
            </w:r>
            <w:r>
              <w:rPr>
                <w:rFonts w:hint="eastAsia" w:ascii="宋体" w:hAnsi="宋体" w:cs="宋体"/>
                <w:szCs w:val="21"/>
              </w:rPr>
              <w:t>月25日</w:t>
            </w:r>
          </w:p>
        </w:tc>
        <w:tc>
          <w:tcPr>
            <w:tcW w:w="2447" w:type="dxa"/>
            <w:shd w:val="clear" w:color="auto" w:fill="auto"/>
            <w:vAlign w:val="center"/>
          </w:tcPr>
          <w:p w14:paraId="15112976">
            <w:pPr>
              <w:jc w:val="center"/>
              <w:rPr>
                <w:rFonts w:ascii="宋体" w:hAnsi="宋体" w:eastAsia="Arial" w:cs="宋体"/>
                <w:snapToGrid w:val="0"/>
                <w:color w:val="000000"/>
                <w:kern w:val="0"/>
                <w:sz w:val="28"/>
                <w:szCs w:val="28"/>
                <w:lang w:val="en-US" w:eastAsia="en-US" w:bidi="ar-SA"/>
              </w:rPr>
            </w:pPr>
            <w:r>
              <w:rPr>
                <w:rFonts w:hint="eastAsia" w:ascii="宋体" w:hAnsi="宋体" w:cs="宋体"/>
                <w:szCs w:val="21"/>
              </w:rPr>
              <w:t>202</w:t>
            </w:r>
            <w:r>
              <w:rPr>
                <w:rFonts w:hint="eastAsia" w:ascii="宋体" w:hAnsi="宋体" w:eastAsia="宋体" w:cs="宋体"/>
                <w:szCs w:val="21"/>
                <w:lang w:val="en-US" w:eastAsia="zh-CN"/>
              </w:rPr>
              <w:t>5</w:t>
            </w:r>
            <w:r>
              <w:rPr>
                <w:rFonts w:hint="eastAsia" w:ascii="宋体" w:hAnsi="宋体" w:cs="宋体"/>
                <w:szCs w:val="21"/>
              </w:rPr>
              <w:t>年</w:t>
            </w:r>
            <w:r>
              <w:rPr>
                <w:rFonts w:hint="eastAsia" w:ascii="宋体" w:hAnsi="宋体" w:eastAsia="宋体" w:cs="宋体"/>
                <w:szCs w:val="21"/>
                <w:lang w:val="en-US" w:eastAsia="zh-CN"/>
              </w:rPr>
              <w:t>5</w:t>
            </w:r>
            <w:r>
              <w:rPr>
                <w:rFonts w:hint="eastAsia" w:ascii="宋体" w:hAnsi="宋体" w:cs="宋体"/>
                <w:szCs w:val="21"/>
              </w:rPr>
              <w:t>月25日</w:t>
            </w:r>
          </w:p>
        </w:tc>
      </w:tr>
      <w:tr w14:paraId="32D5F109">
        <w:trPr>
          <w:trHeight w:val="656" w:hRule="atLeast"/>
        </w:trPr>
        <w:tc>
          <w:tcPr>
            <w:tcW w:w="1998" w:type="dxa"/>
            <w:shd w:val="clear" w:color="auto" w:fill="auto"/>
            <w:vAlign w:val="center"/>
          </w:tcPr>
          <w:p w14:paraId="29E83B0D">
            <w:pPr>
              <w:jc w:val="center"/>
              <w:rPr>
                <w:rFonts w:hint="eastAsia" w:ascii="宋体" w:hAnsi="宋体" w:eastAsia="宋体" w:cs="宋体"/>
                <w:snapToGrid w:val="0"/>
                <w:color w:val="000000"/>
                <w:kern w:val="0"/>
                <w:sz w:val="28"/>
                <w:szCs w:val="28"/>
                <w:lang w:val="en-US" w:eastAsia="zh-CN" w:bidi="ar-SA"/>
              </w:rPr>
            </w:pPr>
            <w:r>
              <w:rPr>
                <w:rFonts w:hint="eastAsia" w:ascii="宋体" w:hAnsi="宋体" w:eastAsia="宋体" w:cs="宋体"/>
                <w:szCs w:val="21"/>
                <w:lang w:val="en-US" w:eastAsia="zh-CN"/>
              </w:rPr>
              <w:t>A</w:t>
            </w:r>
            <w:r>
              <w:rPr>
                <w:rFonts w:hint="eastAsia" w:ascii="宋体" w:hAnsi="宋体" w:cs="宋体"/>
                <w:szCs w:val="21"/>
              </w:rPr>
              <w:t>/</w:t>
            </w:r>
            <w:r>
              <w:rPr>
                <w:rFonts w:hint="eastAsia" w:ascii="宋体" w:hAnsi="宋体" w:eastAsia="宋体" w:cs="宋体"/>
                <w:szCs w:val="21"/>
                <w:lang w:val="en-US" w:eastAsia="zh-CN"/>
              </w:rPr>
              <w:t>2</w:t>
            </w:r>
          </w:p>
        </w:tc>
        <w:tc>
          <w:tcPr>
            <w:tcW w:w="1260" w:type="dxa"/>
            <w:shd w:val="clear" w:color="auto" w:fill="auto"/>
            <w:vAlign w:val="center"/>
          </w:tcPr>
          <w:p w14:paraId="1C0D3053">
            <w:pPr>
              <w:jc w:val="center"/>
              <w:rPr>
                <w:rFonts w:hint="eastAsia" w:ascii="宋体" w:hAnsi="宋体" w:cs="宋体"/>
                <w:szCs w:val="21"/>
                <w:lang w:val="en-US" w:eastAsia="en-US"/>
              </w:rPr>
            </w:pPr>
            <w:r>
              <w:rPr>
                <w:rFonts w:hint="eastAsia" w:ascii="宋体" w:hAnsi="宋体" w:cs="宋体"/>
                <w:szCs w:val="21"/>
                <w:lang w:val="en-US" w:eastAsia="en-US"/>
              </w:rPr>
              <w:t>毛尧</w:t>
            </w:r>
          </w:p>
        </w:tc>
        <w:tc>
          <w:tcPr>
            <w:tcW w:w="1156" w:type="dxa"/>
            <w:shd w:val="clear" w:color="auto" w:fill="auto"/>
            <w:vAlign w:val="center"/>
          </w:tcPr>
          <w:p w14:paraId="04BE2236">
            <w:pPr>
              <w:jc w:val="center"/>
              <w:rPr>
                <w:rFonts w:hint="eastAsia" w:ascii="宋体" w:hAnsi="宋体" w:cs="宋体"/>
                <w:szCs w:val="21"/>
                <w:lang w:val="en-US" w:eastAsia="en-US"/>
              </w:rPr>
            </w:pPr>
            <w:r>
              <w:rPr>
                <w:rFonts w:hint="eastAsia" w:ascii="宋体" w:hAnsi="宋体" w:cs="宋体"/>
                <w:szCs w:val="21"/>
                <w:lang w:val="en-US" w:eastAsia="en-US"/>
              </w:rPr>
              <w:t>高飞</w:t>
            </w:r>
          </w:p>
        </w:tc>
        <w:tc>
          <w:tcPr>
            <w:tcW w:w="2608" w:type="dxa"/>
            <w:shd w:val="clear" w:color="auto" w:fill="auto"/>
            <w:vAlign w:val="center"/>
          </w:tcPr>
          <w:p w14:paraId="7AED8B5F">
            <w:pPr>
              <w:jc w:val="center"/>
              <w:rPr>
                <w:rFonts w:ascii="宋体" w:hAnsi="宋体" w:eastAsia="Arial" w:cs="宋体"/>
                <w:snapToGrid w:val="0"/>
                <w:color w:val="000000"/>
                <w:kern w:val="0"/>
                <w:sz w:val="28"/>
                <w:szCs w:val="28"/>
                <w:lang w:val="en-US" w:eastAsia="en-US" w:bidi="ar-SA"/>
              </w:rPr>
            </w:pPr>
            <w:r>
              <w:rPr>
                <w:rFonts w:hint="eastAsia" w:ascii="宋体" w:hAnsi="宋体" w:cs="宋体"/>
                <w:szCs w:val="21"/>
              </w:rPr>
              <w:t>202</w:t>
            </w:r>
            <w:r>
              <w:rPr>
                <w:rFonts w:hint="eastAsia" w:ascii="宋体" w:hAnsi="宋体" w:eastAsia="宋体" w:cs="宋体"/>
                <w:szCs w:val="21"/>
                <w:lang w:val="en-US" w:eastAsia="zh-CN"/>
              </w:rPr>
              <w:t>5</w:t>
            </w:r>
            <w:r>
              <w:rPr>
                <w:rFonts w:hint="eastAsia" w:ascii="宋体" w:hAnsi="宋体" w:cs="宋体"/>
                <w:szCs w:val="21"/>
              </w:rPr>
              <w:t>年</w:t>
            </w:r>
            <w:r>
              <w:rPr>
                <w:rFonts w:hint="eastAsia" w:ascii="宋体" w:hAnsi="宋体" w:eastAsia="宋体" w:cs="宋体"/>
                <w:szCs w:val="21"/>
                <w:lang w:val="en-US" w:eastAsia="zh-CN"/>
              </w:rPr>
              <w:t>12</w:t>
            </w:r>
            <w:r>
              <w:rPr>
                <w:rFonts w:hint="eastAsia" w:ascii="宋体" w:hAnsi="宋体" w:cs="宋体"/>
                <w:szCs w:val="21"/>
              </w:rPr>
              <w:t>月</w:t>
            </w:r>
            <w:r>
              <w:rPr>
                <w:rFonts w:hint="eastAsia" w:ascii="宋体" w:hAnsi="宋体" w:eastAsia="宋体" w:cs="宋体"/>
                <w:szCs w:val="21"/>
                <w:lang w:val="en-US" w:eastAsia="zh-CN"/>
              </w:rPr>
              <w:t>28</w:t>
            </w:r>
            <w:r>
              <w:rPr>
                <w:rFonts w:hint="eastAsia" w:ascii="宋体" w:hAnsi="宋体" w:cs="宋体"/>
                <w:szCs w:val="21"/>
              </w:rPr>
              <w:t>日</w:t>
            </w:r>
          </w:p>
        </w:tc>
        <w:tc>
          <w:tcPr>
            <w:tcW w:w="2447" w:type="dxa"/>
            <w:shd w:val="clear" w:color="auto" w:fill="auto"/>
            <w:vAlign w:val="center"/>
          </w:tcPr>
          <w:p w14:paraId="33D0F2DD">
            <w:pPr>
              <w:jc w:val="center"/>
              <w:rPr>
                <w:rFonts w:ascii="宋体" w:hAnsi="宋体" w:eastAsia="Arial" w:cs="宋体"/>
                <w:snapToGrid w:val="0"/>
                <w:color w:val="000000"/>
                <w:kern w:val="0"/>
                <w:sz w:val="28"/>
                <w:szCs w:val="28"/>
                <w:lang w:val="en-US" w:eastAsia="en-US" w:bidi="ar-SA"/>
              </w:rPr>
            </w:pPr>
            <w:r>
              <w:rPr>
                <w:rFonts w:hint="eastAsia" w:ascii="宋体" w:hAnsi="宋体" w:cs="宋体"/>
                <w:szCs w:val="21"/>
              </w:rPr>
              <w:t>202</w:t>
            </w:r>
            <w:r>
              <w:rPr>
                <w:rFonts w:hint="eastAsia" w:ascii="宋体" w:hAnsi="宋体" w:eastAsia="宋体" w:cs="宋体"/>
                <w:szCs w:val="21"/>
                <w:lang w:val="en-US" w:eastAsia="zh-CN"/>
              </w:rPr>
              <w:t>5</w:t>
            </w:r>
            <w:r>
              <w:rPr>
                <w:rFonts w:hint="eastAsia" w:ascii="宋体" w:hAnsi="宋体" w:cs="宋体"/>
                <w:szCs w:val="21"/>
              </w:rPr>
              <w:t>年</w:t>
            </w:r>
            <w:r>
              <w:rPr>
                <w:rFonts w:hint="eastAsia" w:ascii="宋体" w:hAnsi="宋体" w:eastAsia="宋体" w:cs="宋体"/>
                <w:szCs w:val="21"/>
                <w:lang w:val="en-US" w:eastAsia="zh-CN"/>
              </w:rPr>
              <w:t>12</w:t>
            </w:r>
            <w:r>
              <w:rPr>
                <w:rFonts w:hint="eastAsia" w:ascii="宋体" w:hAnsi="宋体" w:cs="宋体"/>
                <w:szCs w:val="21"/>
              </w:rPr>
              <w:t>月</w:t>
            </w:r>
            <w:r>
              <w:rPr>
                <w:rFonts w:hint="eastAsia" w:ascii="宋体" w:hAnsi="宋体" w:eastAsia="宋体" w:cs="宋体"/>
                <w:szCs w:val="21"/>
                <w:lang w:val="en-US" w:eastAsia="zh-CN"/>
              </w:rPr>
              <w:t>28</w:t>
            </w:r>
            <w:r>
              <w:rPr>
                <w:rFonts w:hint="eastAsia" w:ascii="宋体" w:hAnsi="宋体" w:cs="宋体"/>
                <w:szCs w:val="21"/>
              </w:rPr>
              <w:t>日</w:t>
            </w:r>
          </w:p>
        </w:tc>
      </w:tr>
      <w:tr w14:paraId="0C2B7E64">
        <w:trPr>
          <w:trHeight w:val="661" w:hRule="atLeast"/>
        </w:trPr>
        <w:tc>
          <w:tcPr>
            <w:tcW w:w="1998" w:type="dxa"/>
            <w:shd w:val="clear" w:color="auto" w:fill="auto"/>
            <w:vAlign w:val="center"/>
          </w:tcPr>
          <w:p w14:paraId="0F9048B5">
            <w:pPr>
              <w:jc w:val="center"/>
              <w:rPr>
                <w:rFonts w:hint="eastAsia" w:ascii="宋体" w:hAnsi="宋体" w:eastAsia="宋体" w:cs="宋体"/>
                <w:snapToGrid w:val="0"/>
                <w:color w:val="000000"/>
                <w:kern w:val="0"/>
                <w:sz w:val="28"/>
                <w:szCs w:val="28"/>
                <w:lang w:val="en-US" w:eastAsia="zh-CN" w:bidi="ar-SA"/>
              </w:rPr>
            </w:pPr>
            <w:r>
              <w:rPr>
                <w:rFonts w:hint="eastAsia" w:ascii="宋体" w:hAnsi="宋体" w:eastAsia="宋体" w:cs="宋体"/>
                <w:szCs w:val="21"/>
                <w:lang w:val="en-US" w:eastAsia="zh-CN"/>
              </w:rPr>
              <w:t>A</w:t>
            </w:r>
            <w:r>
              <w:rPr>
                <w:rFonts w:hint="eastAsia" w:ascii="宋体" w:hAnsi="宋体" w:cs="宋体"/>
                <w:szCs w:val="21"/>
              </w:rPr>
              <w:t>/</w:t>
            </w:r>
            <w:r>
              <w:rPr>
                <w:rFonts w:hint="eastAsia" w:ascii="宋体" w:hAnsi="宋体" w:eastAsia="宋体" w:cs="宋体"/>
                <w:szCs w:val="21"/>
                <w:lang w:val="en-US" w:eastAsia="zh-CN"/>
              </w:rPr>
              <w:t>3</w:t>
            </w:r>
          </w:p>
        </w:tc>
        <w:tc>
          <w:tcPr>
            <w:tcW w:w="1260" w:type="dxa"/>
            <w:shd w:val="clear" w:color="auto" w:fill="auto"/>
            <w:vAlign w:val="center"/>
          </w:tcPr>
          <w:p w14:paraId="572A9F76">
            <w:pPr>
              <w:jc w:val="center"/>
              <w:rPr>
                <w:rFonts w:hint="default" w:ascii="宋体" w:hAnsi="宋体" w:cs="宋体"/>
                <w:szCs w:val="21"/>
                <w:lang w:val="en-US" w:eastAsia="zh-CN"/>
              </w:rPr>
            </w:pPr>
            <w:r>
              <w:rPr>
                <w:rFonts w:hint="eastAsia" w:ascii="宋体" w:hAnsi="宋体" w:cs="宋体"/>
                <w:szCs w:val="21"/>
                <w:lang w:val="en-US" w:eastAsia="zh-CN"/>
              </w:rPr>
              <w:t>朱宁栋</w:t>
            </w:r>
          </w:p>
        </w:tc>
        <w:tc>
          <w:tcPr>
            <w:tcW w:w="1156" w:type="dxa"/>
            <w:shd w:val="clear" w:color="auto" w:fill="auto"/>
            <w:vAlign w:val="center"/>
          </w:tcPr>
          <w:p w14:paraId="6D0C67F4">
            <w:pPr>
              <w:jc w:val="center"/>
              <w:rPr>
                <w:rFonts w:hint="eastAsia" w:ascii="宋体" w:hAnsi="宋体" w:cs="宋体"/>
                <w:szCs w:val="21"/>
                <w:lang w:val="en-US" w:eastAsia="en-US"/>
              </w:rPr>
            </w:pPr>
            <w:r>
              <w:rPr>
                <w:rFonts w:hint="eastAsia" w:ascii="宋体" w:hAnsi="宋体" w:cs="宋体"/>
                <w:szCs w:val="21"/>
                <w:lang w:val="en-US" w:eastAsia="en-US"/>
              </w:rPr>
              <w:t>高飞</w:t>
            </w:r>
          </w:p>
        </w:tc>
        <w:tc>
          <w:tcPr>
            <w:tcW w:w="2608" w:type="dxa"/>
            <w:shd w:val="clear" w:color="auto" w:fill="auto"/>
            <w:vAlign w:val="center"/>
          </w:tcPr>
          <w:p w14:paraId="40158D4C">
            <w:pPr>
              <w:jc w:val="center"/>
              <w:rPr>
                <w:rFonts w:ascii="宋体" w:hAnsi="宋体" w:eastAsia="Arial" w:cs="宋体"/>
                <w:snapToGrid w:val="0"/>
                <w:color w:val="000000"/>
                <w:kern w:val="0"/>
                <w:sz w:val="28"/>
                <w:szCs w:val="28"/>
                <w:lang w:val="en-US" w:eastAsia="en-US" w:bidi="ar-SA"/>
              </w:rPr>
            </w:pPr>
            <w:r>
              <w:rPr>
                <w:rFonts w:hint="eastAsia" w:ascii="宋体" w:hAnsi="宋体" w:cs="宋体"/>
                <w:szCs w:val="21"/>
              </w:rPr>
              <w:t>202</w:t>
            </w:r>
            <w:r>
              <w:rPr>
                <w:rFonts w:hint="eastAsia" w:ascii="宋体" w:hAnsi="宋体" w:eastAsia="宋体" w:cs="宋体"/>
                <w:szCs w:val="21"/>
                <w:lang w:val="en-US" w:eastAsia="zh-CN"/>
              </w:rPr>
              <w:t>6</w:t>
            </w:r>
            <w:r>
              <w:rPr>
                <w:rFonts w:hint="eastAsia" w:ascii="宋体" w:hAnsi="宋体" w:cs="宋体"/>
                <w:szCs w:val="21"/>
              </w:rPr>
              <w:t>年</w:t>
            </w:r>
            <w:r>
              <w:rPr>
                <w:rFonts w:hint="eastAsia" w:ascii="宋体" w:hAnsi="宋体" w:eastAsia="宋体" w:cs="宋体"/>
                <w:szCs w:val="21"/>
                <w:lang w:val="en-US" w:eastAsia="zh-CN"/>
              </w:rPr>
              <w:t>6</w:t>
            </w:r>
            <w:r>
              <w:rPr>
                <w:rFonts w:hint="eastAsia" w:ascii="宋体" w:hAnsi="宋体" w:cs="宋体"/>
                <w:szCs w:val="21"/>
              </w:rPr>
              <w:t>月</w:t>
            </w:r>
            <w:r>
              <w:rPr>
                <w:rFonts w:hint="eastAsia" w:ascii="宋体" w:hAnsi="宋体" w:eastAsia="宋体" w:cs="宋体"/>
                <w:szCs w:val="21"/>
                <w:lang w:val="en-US" w:eastAsia="zh-CN"/>
              </w:rPr>
              <w:t>16</w:t>
            </w:r>
            <w:r>
              <w:rPr>
                <w:rFonts w:hint="eastAsia" w:ascii="宋体" w:hAnsi="宋体" w:cs="宋体"/>
                <w:szCs w:val="21"/>
              </w:rPr>
              <w:t>日</w:t>
            </w:r>
          </w:p>
        </w:tc>
        <w:tc>
          <w:tcPr>
            <w:tcW w:w="2447" w:type="dxa"/>
            <w:shd w:val="clear" w:color="auto" w:fill="auto"/>
            <w:vAlign w:val="center"/>
          </w:tcPr>
          <w:p w14:paraId="6B81D3EC">
            <w:pPr>
              <w:jc w:val="center"/>
              <w:rPr>
                <w:rFonts w:ascii="宋体" w:hAnsi="宋体" w:eastAsia="Arial" w:cs="宋体"/>
                <w:snapToGrid w:val="0"/>
                <w:color w:val="000000"/>
                <w:kern w:val="0"/>
                <w:sz w:val="28"/>
                <w:szCs w:val="28"/>
                <w:lang w:val="en-US" w:eastAsia="en-US" w:bidi="ar-SA"/>
              </w:rPr>
            </w:pPr>
            <w:r>
              <w:rPr>
                <w:rFonts w:hint="eastAsia" w:ascii="宋体" w:hAnsi="宋体" w:cs="宋体"/>
                <w:szCs w:val="21"/>
              </w:rPr>
              <w:t>202</w:t>
            </w:r>
            <w:r>
              <w:rPr>
                <w:rFonts w:hint="eastAsia" w:ascii="宋体" w:hAnsi="宋体" w:eastAsia="宋体" w:cs="宋体"/>
                <w:szCs w:val="21"/>
                <w:lang w:val="en-US" w:eastAsia="zh-CN"/>
              </w:rPr>
              <w:t>6</w:t>
            </w:r>
            <w:r>
              <w:rPr>
                <w:rFonts w:hint="eastAsia" w:ascii="宋体" w:hAnsi="宋体" w:cs="宋体"/>
                <w:szCs w:val="21"/>
              </w:rPr>
              <w:t>年</w:t>
            </w:r>
            <w:r>
              <w:rPr>
                <w:rFonts w:hint="eastAsia" w:ascii="宋体" w:hAnsi="宋体" w:eastAsia="宋体" w:cs="宋体"/>
                <w:szCs w:val="21"/>
                <w:lang w:val="en-US" w:eastAsia="zh-CN"/>
              </w:rPr>
              <w:t>6</w:t>
            </w:r>
            <w:r>
              <w:rPr>
                <w:rFonts w:hint="eastAsia" w:ascii="宋体" w:hAnsi="宋体" w:cs="宋体"/>
                <w:szCs w:val="21"/>
              </w:rPr>
              <w:t>月</w:t>
            </w:r>
            <w:r>
              <w:rPr>
                <w:rFonts w:hint="eastAsia" w:ascii="宋体" w:hAnsi="宋体" w:eastAsia="宋体" w:cs="宋体"/>
                <w:szCs w:val="21"/>
                <w:lang w:val="en-US" w:eastAsia="zh-CN"/>
              </w:rPr>
              <w:t>16</w:t>
            </w:r>
            <w:r>
              <w:rPr>
                <w:rFonts w:hint="eastAsia" w:ascii="宋体" w:hAnsi="宋体" w:cs="宋体"/>
                <w:szCs w:val="21"/>
              </w:rPr>
              <w:t>日</w:t>
            </w:r>
          </w:p>
        </w:tc>
      </w:tr>
      <w:bookmarkEnd w:id="5"/>
    </w:tbl>
    <w:p w14:paraId="04572B99">
      <w:pPr>
        <w:rPr>
          <w:rFonts w:ascii="Arial"/>
          <w:sz w:val="21"/>
        </w:rPr>
      </w:pPr>
    </w:p>
    <w:p w14:paraId="58DC09BD">
      <w:pPr>
        <w:rPr>
          <w:rFonts w:ascii="Arial" w:hAnsi="Arial" w:eastAsia="Arial" w:cs="Arial"/>
          <w:sz w:val="21"/>
          <w:szCs w:val="21"/>
        </w:rPr>
        <w:sectPr>
          <w:pgSz w:w="11907" w:h="16839"/>
          <w:pgMar w:top="1425" w:right="1303" w:bottom="0" w:left="1128" w:header="0" w:footer="0" w:gutter="0"/>
          <w:cols w:space="720" w:num="1"/>
        </w:sectPr>
      </w:pPr>
    </w:p>
    <w:p w14:paraId="21946803">
      <w:pPr>
        <w:spacing w:line="299" w:lineRule="auto"/>
        <w:rPr>
          <w:rFonts w:ascii="Arial"/>
          <w:sz w:val="21"/>
        </w:rPr>
      </w:pPr>
    </w:p>
    <w:p w14:paraId="3AE928E9">
      <w:pPr>
        <w:spacing w:line="299" w:lineRule="auto"/>
        <w:rPr>
          <w:rFonts w:ascii="Arial"/>
          <w:sz w:val="21"/>
        </w:rPr>
      </w:pPr>
    </w:p>
    <w:p w14:paraId="1183FEC0">
      <w:pPr>
        <w:spacing w:before="140" w:line="225" w:lineRule="auto"/>
        <w:ind w:left="4405"/>
        <w:rPr>
          <w:rFonts w:ascii="宋体" w:hAnsi="宋体" w:eastAsia="宋体" w:cs="宋体"/>
          <w:sz w:val="43"/>
          <w:szCs w:val="43"/>
        </w:rPr>
      </w:pPr>
      <w:r>
        <w:rPr>
          <w:rFonts w:ascii="宋体" w:hAnsi="宋体" w:eastAsia="宋体" w:cs="宋体"/>
          <w:spacing w:val="-8"/>
          <w:sz w:val="43"/>
          <w:szCs w:val="43"/>
          <w14:textOutline w14:w="7968" w14:cap="flat" w14:cmpd="sng">
            <w14:solidFill>
              <w14:srgbClr w14:val="000000"/>
            </w14:solidFill>
            <w14:prstDash w14:val="solid"/>
            <w14:miter w14:val="0"/>
          </w14:textOutline>
        </w:rPr>
        <w:t>前</w:t>
      </w:r>
      <w:r>
        <w:rPr>
          <w:rFonts w:ascii="宋体" w:hAnsi="宋体" w:eastAsia="宋体" w:cs="宋体"/>
          <w:spacing w:val="47"/>
          <w:sz w:val="43"/>
          <w:szCs w:val="43"/>
        </w:rPr>
        <w:t xml:space="preserve"> </w:t>
      </w:r>
      <w:r>
        <w:rPr>
          <w:rFonts w:ascii="宋体" w:hAnsi="宋体" w:eastAsia="宋体" w:cs="宋体"/>
          <w:spacing w:val="-8"/>
          <w:sz w:val="43"/>
          <w:szCs w:val="43"/>
          <w14:textOutline w14:w="7968" w14:cap="flat" w14:cmpd="sng">
            <w14:solidFill>
              <w14:srgbClr w14:val="000000"/>
            </w14:solidFill>
            <w14:prstDash w14:val="solid"/>
            <w14:miter w14:val="0"/>
          </w14:textOutline>
        </w:rPr>
        <w:t>言</w:t>
      </w:r>
    </w:p>
    <w:p w14:paraId="10115EBD">
      <w:pPr>
        <w:spacing w:line="264" w:lineRule="auto"/>
        <w:rPr>
          <w:rFonts w:ascii="Arial"/>
          <w:sz w:val="21"/>
        </w:rPr>
      </w:pPr>
    </w:p>
    <w:p w14:paraId="776D24AD">
      <w:pPr>
        <w:spacing w:line="265" w:lineRule="auto"/>
        <w:rPr>
          <w:rFonts w:ascii="Arial"/>
          <w:sz w:val="21"/>
        </w:rPr>
      </w:pPr>
    </w:p>
    <w:p w14:paraId="0CAE952B">
      <w:pPr>
        <w:spacing w:line="265" w:lineRule="auto"/>
        <w:rPr>
          <w:rFonts w:ascii="Arial"/>
          <w:sz w:val="21"/>
        </w:rPr>
      </w:pPr>
    </w:p>
    <w:p w14:paraId="2106AE3F">
      <w:pPr>
        <w:spacing w:line="265" w:lineRule="auto"/>
        <w:rPr>
          <w:rFonts w:ascii="Arial"/>
          <w:sz w:val="21"/>
        </w:rPr>
      </w:pPr>
    </w:p>
    <w:p w14:paraId="38E1B2DF">
      <w:pPr>
        <w:spacing w:line="265" w:lineRule="auto"/>
        <w:rPr>
          <w:rFonts w:ascii="Arial"/>
          <w:sz w:val="21"/>
        </w:rPr>
      </w:pPr>
    </w:p>
    <w:p w14:paraId="1365874B">
      <w:pPr>
        <w:spacing w:line="265" w:lineRule="auto"/>
        <w:rPr>
          <w:rFonts w:ascii="Arial"/>
          <w:sz w:val="21"/>
        </w:rPr>
      </w:pPr>
    </w:p>
    <w:p w14:paraId="64145758">
      <w:pPr>
        <w:spacing w:before="101" w:line="595" w:lineRule="auto"/>
        <w:ind w:left="125" w:firstLine="645"/>
        <w:jc w:val="both"/>
        <w:rPr>
          <w:rFonts w:ascii="宋体" w:hAnsi="宋体" w:eastAsia="宋体" w:cs="宋体"/>
          <w:sz w:val="28"/>
          <w:szCs w:val="28"/>
        </w:rPr>
      </w:pPr>
      <w:r>
        <w:rPr>
          <w:rFonts w:ascii="宋体" w:hAnsi="宋体" w:eastAsia="宋体" w:cs="宋体"/>
          <w:spacing w:val="9"/>
          <w:sz w:val="28"/>
          <w:szCs w:val="28"/>
        </w:rPr>
        <w:t>为了保证服务认证工作顺利开展，确保认证各项工作符合</w:t>
      </w:r>
      <w:r>
        <w:rPr>
          <w:rFonts w:hint="eastAsia" w:ascii="宋体" w:hAnsi="宋体" w:eastAsia="宋体" w:cs="宋体"/>
          <w:spacing w:val="9"/>
          <w:sz w:val="28"/>
          <w:szCs w:val="28"/>
          <w:lang w:val="en-US" w:eastAsia="zh-CN"/>
        </w:rPr>
        <w:t>CNCA、</w:t>
      </w:r>
      <w:r>
        <w:rPr>
          <w:rFonts w:ascii="宋体" w:hAnsi="宋体" w:eastAsia="宋体" w:cs="宋体"/>
          <w:spacing w:val="9"/>
          <w:sz w:val="28"/>
          <w:szCs w:val="28"/>
        </w:rPr>
        <w:t xml:space="preserve"> </w:t>
      </w:r>
      <w:r>
        <w:rPr>
          <w:rFonts w:ascii="宋体" w:hAnsi="宋体" w:eastAsia="宋体" w:cs="宋体"/>
          <w:sz w:val="28"/>
          <w:szCs w:val="28"/>
        </w:rPr>
        <w:t>CNAS</w:t>
      </w:r>
      <w:r>
        <w:rPr>
          <w:rFonts w:ascii="宋体" w:hAnsi="宋体" w:eastAsia="宋体" w:cs="宋体"/>
          <w:spacing w:val="9"/>
          <w:sz w:val="28"/>
          <w:szCs w:val="28"/>
        </w:rPr>
        <w:t xml:space="preserve"> </w:t>
      </w:r>
      <w:r>
        <w:rPr>
          <w:rFonts w:ascii="宋体" w:hAnsi="宋体" w:eastAsia="宋体" w:cs="宋体"/>
          <w:spacing w:val="3"/>
          <w:sz w:val="28"/>
          <w:szCs w:val="28"/>
        </w:rPr>
        <w:t>认可准则相关文件要求，及管理手册、程序等文件规定，使</w:t>
      </w:r>
      <w:r>
        <w:rPr>
          <w:rFonts w:ascii="宋体" w:hAnsi="宋体" w:eastAsia="宋体" w:cs="宋体"/>
          <w:spacing w:val="7"/>
          <w:sz w:val="28"/>
          <w:szCs w:val="28"/>
        </w:rPr>
        <w:t>各项认证活动得以规范有序进行，特制定本实施规则。</w:t>
      </w:r>
    </w:p>
    <w:p w14:paraId="6C9991FF">
      <w:pPr>
        <w:spacing w:line="260" w:lineRule="auto"/>
        <w:rPr>
          <w:rFonts w:ascii="Arial"/>
          <w:sz w:val="28"/>
          <w:szCs w:val="28"/>
        </w:rPr>
      </w:pPr>
    </w:p>
    <w:p w14:paraId="77CD832C">
      <w:pPr>
        <w:spacing w:line="260" w:lineRule="auto"/>
        <w:rPr>
          <w:rFonts w:ascii="Arial"/>
          <w:sz w:val="28"/>
          <w:szCs w:val="28"/>
        </w:rPr>
      </w:pPr>
    </w:p>
    <w:p w14:paraId="02FAC6BA">
      <w:pPr>
        <w:spacing w:before="100" w:line="1002" w:lineRule="exact"/>
        <w:ind w:left="126"/>
        <w:rPr>
          <w:rFonts w:hint="eastAsia" w:ascii="宋体" w:hAnsi="宋体" w:eastAsia="宋体" w:cs="宋体"/>
          <w:sz w:val="28"/>
          <w:szCs w:val="28"/>
          <w:lang w:eastAsia="zh-CN"/>
        </w:rPr>
      </w:pPr>
      <w:r>
        <w:rPr>
          <w:rFonts w:ascii="宋体" w:hAnsi="宋体" w:eastAsia="宋体" w:cs="宋体"/>
          <w:spacing w:val="8"/>
          <w:position w:val="53"/>
          <w:sz w:val="28"/>
          <w:szCs w:val="28"/>
        </w:rPr>
        <w:t>制定单位：</w:t>
      </w:r>
      <w:r>
        <w:rPr>
          <w:rFonts w:hint="eastAsia" w:ascii="宋体" w:hAnsi="宋体" w:eastAsia="宋体" w:cs="宋体"/>
          <w:spacing w:val="8"/>
          <w:position w:val="53"/>
          <w:sz w:val="28"/>
          <w:szCs w:val="28"/>
          <w:lang w:eastAsia="zh-CN"/>
        </w:rPr>
        <w:t>华鼎四海（北京）认证有限公司</w:t>
      </w:r>
    </w:p>
    <w:p w14:paraId="05D1E0F7">
      <w:pPr>
        <w:spacing w:before="1" w:line="224" w:lineRule="auto"/>
        <w:ind w:left="127"/>
        <w:rPr>
          <w:rFonts w:hint="eastAsia" w:ascii="宋体" w:hAnsi="宋体" w:eastAsia="宋体" w:cs="宋体"/>
          <w:sz w:val="28"/>
          <w:szCs w:val="28"/>
          <w:lang w:eastAsia="zh-CN"/>
        </w:rPr>
      </w:pPr>
      <w:r>
        <w:rPr>
          <w:rFonts w:ascii="宋体" w:hAnsi="宋体" w:eastAsia="宋体" w:cs="宋体"/>
          <w:spacing w:val="-2"/>
          <w:sz w:val="28"/>
          <w:szCs w:val="28"/>
        </w:rPr>
        <w:t>主要起草人：</w:t>
      </w:r>
      <w:r>
        <w:rPr>
          <w:rFonts w:hint="eastAsia" w:ascii="宋体" w:hAnsi="宋体" w:eastAsia="宋体" w:cs="宋体"/>
          <w:spacing w:val="-2"/>
          <w:sz w:val="28"/>
          <w:szCs w:val="28"/>
          <w:lang w:val="en-US" w:eastAsia="zh-CN"/>
        </w:rPr>
        <w:t>高飞、朱宁栋</w:t>
      </w:r>
    </w:p>
    <w:p w14:paraId="704529F4">
      <w:pPr>
        <w:spacing w:line="224" w:lineRule="auto"/>
        <w:rPr>
          <w:rFonts w:ascii="宋体" w:hAnsi="宋体" w:eastAsia="宋体" w:cs="宋体"/>
          <w:sz w:val="28"/>
          <w:szCs w:val="28"/>
        </w:rPr>
        <w:sectPr>
          <w:pgSz w:w="11907" w:h="16839"/>
          <w:pgMar w:top="568" w:right="1194" w:bottom="0" w:left="1020" w:header="0" w:footer="0" w:gutter="0"/>
          <w:cols w:space="720" w:num="1"/>
        </w:sectPr>
      </w:pPr>
    </w:p>
    <w:p w14:paraId="5675AFB0">
      <w:pPr>
        <w:spacing w:line="422" w:lineRule="auto"/>
        <w:rPr>
          <w:rFonts w:ascii="Arial"/>
          <w:sz w:val="21"/>
        </w:rPr>
      </w:pPr>
    </w:p>
    <w:sdt>
      <w:sdtPr>
        <w:rPr>
          <w:rFonts w:ascii="宋体" w:hAnsi="宋体" w:eastAsia="宋体" w:cs="宋体"/>
          <w:sz w:val="31"/>
          <w:szCs w:val="31"/>
        </w:rPr>
        <w:id w:val="1"/>
        <w:docPartObj>
          <w:docPartGallery w:val="Table of Contents"/>
          <w:docPartUnique/>
        </w:docPartObj>
      </w:sdtPr>
      <w:sdtEndPr>
        <w:rPr>
          <w:rFonts w:ascii="Times New Roman" w:hAnsi="Times New Roman" w:eastAsia="Times New Roman" w:cs="Times New Roman"/>
          <w:sz w:val="31"/>
          <w:szCs w:val="31"/>
        </w:rPr>
      </w:sdtEndPr>
      <w:sdtContent>
        <w:p w14:paraId="4511D431">
          <w:pPr>
            <w:spacing w:before="101" w:line="227" w:lineRule="auto"/>
            <w:ind w:left="4605"/>
            <w:rPr>
              <w:rFonts w:ascii="宋体" w:hAnsi="宋体" w:eastAsia="宋体" w:cs="宋体"/>
              <w:sz w:val="31"/>
              <w:szCs w:val="31"/>
            </w:rPr>
          </w:pPr>
          <w:r>
            <w:rPr>
              <w:rFonts w:ascii="宋体" w:hAnsi="宋体" w:eastAsia="宋体" w:cs="宋体"/>
              <w:spacing w:val="-33"/>
              <w:sz w:val="31"/>
              <w:szCs w:val="31"/>
            </w:rPr>
            <w:t>目</w:t>
          </w:r>
          <w:r>
            <w:rPr>
              <w:rFonts w:ascii="宋体" w:hAnsi="宋体" w:eastAsia="宋体" w:cs="宋体"/>
              <w:spacing w:val="20"/>
              <w:sz w:val="31"/>
              <w:szCs w:val="31"/>
            </w:rPr>
            <w:t xml:space="preserve"> </w:t>
          </w:r>
          <w:r>
            <w:rPr>
              <w:rFonts w:ascii="宋体" w:hAnsi="宋体" w:eastAsia="宋体" w:cs="宋体"/>
              <w:spacing w:val="-33"/>
              <w:sz w:val="31"/>
              <w:szCs w:val="31"/>
            </w:rPr>
            <w:t>录</w:t>
          </w:r>
        </w:p>
        <w:p w14:paraId="754B5CE9">
          <w:pPr>
            <w:spacing w:line="257" w:lineRule="auto"/>
            <w:rPr>
              <w:rFonts w:ascii="Arial"/>
              <w:sz w:val="21"/>
            </w:rPr>
          </w:pPr>
        </w:p>
        <w:p w14:paraId="1CF64719">
          <w:pPr>
            <w:spacing w:line="257" w:lineRule="auto"/>
            <w:rPr>
              <w:rFonts w:ascii="Arial"/>
              <w:sz w:val="21"/>
            </w:rPr>
          </w:pPr>
        </w:p>
        <w:p w14:paraId="111ED7CA">
          <w:pPr>
            <w:tabs>
              <w:tab w:val="right" w:leader="dot" w:pos="9559"/>
            </w:tabs>
            <w:spacing w:before="101" w:line="226" w:lineRule="auto"/>
            <w:ind w:left="486"/>
            <w:rPr>
              <w:rFonts w:ascii="Times New Roman" w:hAnsi="Times New Roman" w:eastAsia="Times New Roman" w:cs="Times New Roman"/>
              <w:sz w:val="31"/>
              <w:szCs w:val="31"/>
            </w:rPr>
          </w:pPr>
          <w:r>
            <w:rPr>
              <w:rFonts w:ascii="Times New Roman" w:hAnsi="Times New Roman" w:eastAsia="Times New Roman" w:cs="Times New Roman"/>
              <w:spacing w:val="-2"/>
              <w:sz w:val="31"/>
              <w:szCs w:val="31"/>
            </w:rPr>
            <w:t>1</w:t>
          </w:r>
          <w:r>
            <w:rPr>
              <w:rFonts w:ascii="Times New Roman" w:hAnsi="Times New Roman" w:eastAsia="Times New Roman" w:cs="Times New Roman"/>
              <w:spacing w:val="9"/>
              <w:sz w:val="31"/>
              <w:szCs w:val="31"/>
            </w:rPr>
            <w:t xml:space="preserve">  </w:t>
          </w:r>
          <w:r>
            <w:rPr>
              <w:rFonts w:ascii="宋体" w:hAnsi="宋体" w:eastAsia="宋体" w:cs="宋体"/>
              <w:spacing w:val="-2"/>
              <w:sz w:val="31"/>
              <w:szCs w:val="31"/>
            </w:rPr>
            <w:t>适用范围</w:t>
          </w:r>
          <w:r>
            <w:rPr>
              <w:rFonts w:ascii="宋体" w:hAnsi="宋体" w:eastAsia="宋体" w:cs="宋体"/>
              <w:spacing w:val="30"/>
              <w:sz w:val="31"/>
              <w:szCs w:val="31"/>
            </w:rPr>
            <w:t xml:space="preserve"> </w:t>
          </w:r>
          <w:r>
            <w:rPr>
              <w:rFonts w:ascii="宋体" w:hAnsi="宋体" w:eastAsia="宋体" w:cs="宋体"/>
              <w:sz w:val="31"/>
              <w:szCs w:val="31"/>
            </w:rPr>
            <w:tab/>
          </w:r>
          <w:r>
            <w:rPr>
              <w:rFonts w:ascii="宋体" w:hAnsi="宋体" w:eastAsia="宋体" w:cs="宋体"/>
              <w:spacing w:val="-71"/>
              <w:sz w:val="31"/>
              <w:szCs w:val="31"/>
            </w:rPr>
            <w:t xml:space="preserve"> </w:t>
          </w:r>
          <w:r>
            <w:fldChar w:fldCharType="begin"/>
          </w:r>
          <w:r>
            <w:instrText xml:space="preserve"> HYPERLINK \l "bookmark1" </w:instrText>
          </w:r>
          <w:r>
            <w:fldChar w:fldCharType="separate"/>
          </w:r>
          <w:r>
            <w:rPr>
              <w:rFonts w:ascii="Times New Roman" w:hAnsi="Times New Roman" w:eastAsia="Times New Roman" w:cs="Times New Roman"/>
              <w:sz w:val="31"/>
              <w:szCs w:val="31"/>
            </w:rPr>
            <w:t>4</w:t>
          </w:r>
          <w:r>
            <w:rPr>
              <w:rFonts w:ascii="Times New Roman" w:hAnsi="Times New Roman" w:eastAsia="Times New Roman" w:cs="Times New Roman"/>
              <w:sz w:val="31"/>
              <w:szCs w:val="31"/>
            </w:rPr>
            <w:fldChar w:fldCharType="end"/>
          </w:r>
        </w:p>
        <w:p w14:paraId="454F63FA">
          <w:pPr>
            <w:spacing w:line="258" w:lineRule="auto"/>
            <w:rPr>
              <w:rFonts w:ascii="Arial"/>
              <w:sz w:val="21"/>
            </w:rPr>
          </w:pPr>
        </w:p>
        <w:p w14:paraId="274A40D6">
          <w:pPr>
            <w:spacing w:line="259" w:lineRule="auto"/>
            <w:rPr>
              <w:rFonts w:ascii="Arial"/>
              <w:sz w:val="21"/>
            </w:rPr>
          </w:pPr>
        </w:p>
        <w:p w14:paraId="6AB26F4E">
          <w:pPr>
            <w:tabs>
              <w:tab w:val="right" w:leader="dot" w:pos="9525"/>
            </w:tabs>
            <w:spacing w:before="101" w:line="225" w:lineRule="auto"/>
            <w:ind w:left="496"/>
            <w:rPr>
              <w:rFonts w:ascii="Times New Roman" w:hAnsi="Times New Roman" w:eastAsia="Times New Roman" w:cs="Times New Roman"/>
              <w:sz w:val="31"/>
              <w:szCs w:val="31"/>
            </w:rPr>
          </w:pPr>
          <w:r>
            <w:rPr>
              <w:rFonts w:ascii="Times New Roman" w:hAnsi="Times New Roman" w:eastAsia="Times New Roman" w:cs="Times New Roman"/>
              <w:spacing w:val="7"/>
              <w:sz w:val="31"/>
              <w:szCs w:val="31"/>
            </w:rPr>
            <w:t xml:space="preserve">2  </w:t>
          </w:r>
          <w:r>
            <w:rPr>
              <w:rFonts w:ascii="宋体" w:hAnsi="宋体" w:eastAsia="宋体" w:cs="宋体"/>
              <w:spacing w:val="7"/>
              <w:sz w:val="31"/>
              <w:szCs w:val="31"/>
            </w:rPr>
            <w:t>认证模式和认证程序</w:t>
          </w:r>
          <w:r>
            <w:rPr>
              <w:rFonts w:ascii="宋体" w:hAnsi="宋体" w:eastAsia="宋体" w:cs="宋体"/>
              <w:spacing w:val="-125"/>
              <w:sz w:val="31"/>
              <w:szCs w:val="31"/>
            </w:rPr>
            <w:t xml:space="preserve"> </w:t>
          </w:r>
          <w:r>
            <w:rPr>
              <w:rFonts w:ascii="宋体" w:hAnsi="宋体" w:eastAsia="宋体" w:cs="宋体"/>
              <w:sz w:val="31"/>
              <w:szCs w:val="31"/>
            </w:rPr>
            <w:tab/>
          </w:r>
          <w:r>
            <w:rPr>
              <w:rFonts w:ascii="宋体" w:hAnsi="宋体" w:eastAsia="宋体" w:cs="宋体"/>
              <w:spacing w:val="-68"/>
              <w:sz w:val="31"/>
              <w:szCs w:val="31"/>
            </w:rPr>
            <w:t xml:space="preserve"> </w:t>
          </w:r>
          <w:r>
            <w:fldChar w:fldCharType="begin"/>
          </w:r>
          <w:r>
            <w:instrText xml:space="preserve"> HYPERLINK \l "bookmark2" </w:instrText>
          </w:r>
          <w:r>
            <w:fldChar w:fldCharType="separate"/>
          </w:r>
          <w:r>
            <w:rPr>
              <w:rFonts w:ascii="Times New Roman" w:hAnsi="Times New Roman" w:eastAsia="Times New Roman" w:cs="Times New Roman"/>
              <w:sz w:val="31"/>
              <w:szCs w:val="31"/>
            </w:rPr>
            <w:t>4</w:t>
          </w:r>
          <w:r>
            <w:rPr>
              <w:rFonts w:ascii="Times New Roman" w:hAnsi="Times New Roman" w:eastAsia="Times New Roman" w:cs="Times New Roman"/>
              <w:sz w:val="31"/>
              <w:szCs w:val="31"/>
            </w:rPr>
            <w:fldChar w:fldCharType="end"/>
          </w:r>
        </w:p>
        <w:p w14:paraId="35CE39BB">
          <w:pPr>
            <w:spacing w:line="258" w:lineRule="auto"/>
            <w:rPr>
              <w:rFonts w:ascii="Arial"/>
              <w:sz w:val="21"/>
            </w:rPr>
          </w:pPr>
        </w:p>
        <w:p w14:paraId="011C49EF">
          <w:pPr>
            <w:spacing w:line="259" w:lineRule="auto"/>
            <w:rPr>
              <w:rFonts w:ascii="Arial"/>
              <w:sz w:val="21"/>
            </w:rPr>
          </w:pPr>
        </w:p>
        <w:p w14:paraId="4172985E">
          <w:pPr>
            <w:tabs>
              <w:tab w:val="right" w:leader="dot" w:pos="9559"/>
            </w:tabs>
            <w:spacing w:before="101" w:line="224" w:lineRule="auto"/>
            <w:ind w:left="462"/>
            <w:rPr>
              <w:rFonts w:ascii="Times New Roman" w:hAnsi="Times New Roman" w:eastAsia="Times New Roman" w:cs="Times New Roman"/>
              <w:sz w:val="31"/>
              <w:szCs w:val="31"/>
            </w:rPr>
          </w:pPr>
          <w:r>
            <w:rPr>
              <w:rFonts w:ascii="Times New Roman" w:hAnsi="Times New Roman" w:eastAsia="Times New Roman" w:cs="Times New Roman"/>
              <w:spacing w:val="3"/>
              <w:sz w:val="31"/>
              <w:szCs w:val="31"/>
            </w:rPr>
            <w:t>3</w:t>
          </w:r>
          <w:r>
            <w:rPr>
              <w:rFonts w:ascii="Times New Roman" w:hAnsi="Times New Roman" w:eastAsia="Times New Roman" w:cs="Times New Roman"/>
              <w:spacing w:val="9"/>
              <w:sz w:val="31"/>
              <w:szCs w:val="31"/>
            </w:rPr>
            <w:t xml:space="preserve">  </w:t>
          </w:r>
          <w:r>
            <w:rPr>
              <w:rFonts w:ascii="宋体" w:hAnsi="宋体" w:eastAsia="宋体" w:cs="宋体"/>
              <w:spacing w:val="3"/>
              <w:sz w:val="31"/>
              <w:szCs w:val="31"/>
            </w:rPr>
            <w:t>认证依据</w:t>
          </w:r>
          <w:r>
            <w:rPr>
              <w:rFonts w:ascii="宋体" w:hAnsi="宋体" w:eastAsia="宋体" w:cs="宋体"/>
              <w:spacing w:val="29"/>
              <w:sz w:val="31"/>
              <w:szCs w:val="31"/>
            </w:rPr>
            <w:t xml:space="preserve"> </w:t>
          </w:r>
          <w:r>
            <w:rPr>
              <w:rFonts w:ascii="宋体" w:hAnsi="宋体" w:eastAsia="宋体" w:cs="宋体"/>
              <w:sz w:val="31"/>
              <w:szCs w:val="31"/>
            </w:rPr>
            <w:tab/>
          </w:r>
          <w:r>
            <w:rPr>
              <w:rFonts w:ascii="宋体" w:hAnsi="宋体" w:eastAsia="宋体" w:cs="宋体"/>
              <w:spacing w:val="-61"/>
              <w:sz w:val="31"/>
              <w:szCs w:val="31"/>
            </w:rPr>
            <w:t xml:space="preserve"> </w:t>
          </w:r>
          <w:r>
            <w:fldChar w:fldCharType="begin"/>
          </w:r>
          <w:r>
            <w:instrText xml:space="preserve"> HYPERLINK \l "bookmark3" </w:instrText>
          </w:r>
          <w:r>
            <w:fldChar w:fldCharType="separate"/>
          </w:r>
          <w:r>
            <w:rPr>
              <w:rFonts w:ascii="Times New Roman" w:hAnsi="Times New Roman" w:eastAsia="Times New Roman" w:cs="Times New Roman"/>
              <w:sz w:val="31"/>
              <w:szCs w:val="31"/>
            </w:rPr>
            <w:t>5</w:t>
          </w:r>
          <w:r>
            <w:rPr>
              <w:rFonts w:ascii="Times New Roman" w:hAnsi="Times New Roman" w:eastAsia="Times New Roman" w:cs="Times New Roman"/>
              <w:sz w:val="31"/>
              <w:szCs w:val="31"/>
            </w:rPr>
            <w:fldChar w:fldCharType="end"/>
          </w:r>
        </w:p>
        <w:p w14:paraId="31C68C4D">
          <w:pPr>
            <w:spacing w:line="259" w:lineRule="auto"/>
            <w:rPr>
              <w:rFonts w:ascii="Arial"/>
              <w:sz w:val="21"/>
            </w:rPr>
          </w:pPr>
        </w:p>
        <w:p w14:paraId="24DBB6B8">
          <w:pPr>
            <w:spacing w:line="260" w:lineRule="auto"/>
            <w:rPr>
              <w:rFonts w:ascii="Arial"/>
              <w:sz w:val="21"/>
            </w:rPr>
          </w:pPr>
        </w:p>
        <w:p w14:paraId="5AA093E3">
          <w:pPr>
            <w:tabs>
              <w:tab w:val="right" w:leader="dot" w:pos="9605"/>
            </w:tabs>
            <w:spacing w:before="101" w:line="226" w:lineRule="auto"/>
            <w:ind w:left="415"/>
            <w:rPr>
              <w:rFonts w:ascii="Times New Roman" w:hAnsi="Times New Roman" w:eastAsia="Times New Roman" w:cs="Times New Roman"/>
              <w:sz w:val="31"/>
              <w:szCs w:val="31"/>
            </w:rPr>
          </w:pPr>
          <w:r>
            <w:rPr>
              <w:rFonts w:ascii="Times New Roman" w:hAnsi="Times New Roman" w:eastAsia="Times New Roman" w:cs="Times New Roman"/>
              <w:spacing w:val="9"/>
              <w:sz w:val="31"/>
              <w:szCs w:val="31"/>
            </w:rPr>
            <w:t xml:space="preserve">4  </w:t>
          </w:r>
          <w:r>
            <w:rPr>
              <w:rFonts w:ascii="宋体" w:hAnsi="宋体" w:eastAsia="宋体" w:cs="宋体"/>
              <w:spacing w:val="9"/>
              <w:sz w:val="31"/>
              <w:szCs w:val="31"/>
            </w:rPr>
            <w:t xml:space="preserve">认证方法、认证级别、审查方案 </w:t>
          </w:r>
          <w:r>
            <w:rPr>
              <w:rFonts w:ascii="宋体" w:hAnsi="宋体" w:eastAsia="宋体" w:cs="宋体"/>
              <w:sz w:val="31"/>
              <w:szCs w:val="31"/>
            </w:rPr>
            <w:tab/>
          </w:r>
          <w:r>
            <w:rPr>
              <w:rFonts w:ascii="宋体" w:hAnsi="宋体" w:eastAsia="宋体" w:cs="宋体"/>
              <w:spacing w:val="-62"/>
              <w:sz w:val="31"/>
              <w:szCs w:val="31"/>
            </w:rPr>
            <w:t xml:space="preserve"> </w:t>
          </w:r>
          <w:r>
            <w:fldChar w:fldCharType="begin"/>
          </w:r>
          <w:r>
            <w:instrText xml:space="preserve"> HYPERLINK \l "bookmark4" </w:instrText>
          </w:r>
          <w:r>
            <w:fldChar w:fldCharType="separate"/>
          </w:r>
          <w:r>
            <w:rPr>
              <w:rFonts w:ascii="Times New Roman" w:hAnsi="Times New Roman" w:eastAsia="Times New Roman" w:cs="Times New Roman"/>
              <w:sz w:val="31"/>
              <w:szCs w:val="31"/>
            </w:rPr>
            <w:t>5</w:t>
          </w:r>
          <w:r>
            <w:rPr>
              <w:rFonts w:ascii="Times New Roman" w:hAnsi="Times New Roman" w:eastAsia="Times New Roman" w:cs="Times New Roman"/>
              <w:sz w:val="31"/>
              <w:szCs w:val="31"/>
            </w:rPr>
            <w:fldChar w:fldCharType="end"/>
          </w:r>
        </w:p>
        <w:p w14:paraId="348B5DEC">
          <w:pPr>
            <w:spacing w:line="258" w:lineRule="auto"/>
            <w:rPr>
              <w:rFonts w:ascii="Arial"/>
              <w:sz w:val="21"/>
            </w:rPr>
          </w:pPr>
        </w:p>
        <w:p w14:paraId="5277F483">
          <w:pPr>
            <w:spacing w:line="259" w:lineRule="auto"/>
            <w:rPr>
              <w:rFonts w:ascii="Arial"/>
              <w:sz w:val="21"/>
            </w:rPr>
          </w:pPr>
        </w:p>
        <w:p w14:paraId="1A1C1136">
          <w:pPr>
            <w:tabs>
              <w:tab w:val="right" w:leader="dot" w:pos="9467"/>
            </w:tabs>
            <w:spacing w:before="101" w:line="226" w:lineRule="auto"/>
            <w:ind w:left="450"/>
            <w:rPr>
              <w:rFonts w:ascii="Times New Roman" w:hAnsi="Times New Roman" w:eastAsia="Times New Roman" w:cs="Times New Roman"/>
              <w:sz w:val="31"/>
              <w:szCs w:val="31"/>
            </w:rPr>
          </w:pPr>
          <w:r>
            <w:rPr>
              <w:rFonts w:ascii="Times New Roman" w:hAnsi="Times New Roman" w:eastAsia="Times New Roman" w:cs="Times New Roman"/>
              <w:spacing w:val="6"/>
              <w:sz w:val="31"/>
              <w:szCs w:val="31"/>
            </w:rPr>
            <w:t xml:space="preserve">5  </w:t>
          </w:r>
          <w:r>
            <w:rPr>
              <w:rFonts w:ascii="宋体" w:hAnsi="宋体" w:eastAsia="宋体" w:cs="宋体"/>
              <w:spacing w:val="6"/>
              <w:sz w:val="31"/>
              <w:szCs w:val="31"/>
            </w:rPr>
            <w:t>认证实施程序及要求</w:t>
          </w:r>
          <w:r>
            <w:rPr>
              <w:rFonts w:ascii="宋体" w:hAnsi="宋体" w:eastAsia="宋体" w:cs="宋体"/>
              <w:spacing w:val="-124"/>
              <w:sz w:val="31"/>
              <w:szCs w:val="31"/>
            </w:rPr>
            <w:t xml:space="preserve"> </w:t>
          </w:r>
          <w:r>
            <w:rPr>
              <w:rFonts w:ascii="宋体" w:hAnsi="宋体" w:eastAsia="宋体" w:cs="宋体"/>
              <w:sz w:val="31"/>
              <w:szCs w:val="31"/>
            </w:rPr>
            <w:tab/>
          </w:r>
          <w:r>
            <w:rPr>
              <w:rFonts w:ascii="宋体" w:hAnsi="宋体" w:eastAsia="宋体" w:cs="宋体"/>
              <w:spacing w:val="-59"/>
              <w:sz w:val="31"/>
              <w:szCs w:val="31"/>
            </w:rPr>
            <w:t xml:space="preserve"> </w:t>
          </w:r>
          <w:r>
            <w:fldChar w:fldCharType="begin"/>
          </w:r>
          <w:r>
            <w:instrText xml:space="preserve"> HYPERLINK \l "bookmark5" </w:instrText>
          </w:r>
          <w:r>
            <w:fldChar w:fldCharType="separate"/>
          </w:r>
          <w:r>
            <w:rPr>
              <w:rFonts w:ascii="Times New Roman" w:hAnsi="Times New Roman" w:eastAsia="Times New Roman" w:cs="Times New Roman"/>
              <w:sz w:val="31"/>
              <w:szCs w:val="31"/>
            </w:rPr>
            <w:t>6</w:t>
          </w:r>
          <w:r>
            <w:rPr>
              <w:rFonts w:ascii="Times New Roman" w:hAnsi="Times New Roman" w:eastAsia="Times New Roman" w:cs="Times New Roman"/>
              <w:sz w:val="31"/>
              <w:szCs w:val="31"/>
            </w:rPr>
            <w:fldChar w:fldCharType="end"/>
          </w:r>
        </w:p>
        <w:p w14:paraId="2630D025">
          <w:pPr>
            <w:spacing w:line="257" w:lineRule="auto"/>
            <w:rPr>
              <w:rFonts w:ascii="Arial"/>
              <w:sz w:val="21"/>
            </w:rPr>
          </w:pPr>
        </w:p>
        <w:p w14:paraId="453ED5EA">
          <w:pPr>
            <w:spacing w:line="258" w:lineRule="auto"/>
            <w:rPr>
              <w:rFonts w:ascii="Arial"/>
              <w:sz w:val="21"/>
            </w:rPr>
          </w:pPr>
        </w:p>
        <w:p w14:paraId="4624BAA3">
          <w:pPr>
            <w:tabs>
              <w:tab w:val="right" w:leader="dot" w:pos="9544"/>
            </w:tabs>
            <w:spacing w:before="101" w:line="225" w:lineRule="auto"/>
            <w:ind w:left="448"/>
            <w:rPr>
              <w:rFonts w:ascii="Times New Roman" w:hAnsi="Times New Roman" w:eastAsia="Times New Roman" w:cs="Times New Roman"/>
              <w:spacing w:val="42"/>
              <w:w w:val="102"/>
              <w:sz w:val="31"/>
              <w:szCs w:val="31"/>
            </w:rPr>
          </w:pPr>
          <w:r>
            <w:rPr>
              <w:rFonts w:ascii="Times New Roman" w:hAnsi="Times New Roman" w:eastAsia="Times New Roman" w:cs="Times New Roman"/>
              <w:spacing w:val="-5"/>
              <w:sz w:val="31"/>
              <w:szCs w:val="31"/>
            </w:rPr>
            <w:t>6</w:t>
          </w:r>
          <w:r>
            <w:rPr>
              <w:rFonts w:ascii="Times New Roman" w:hAnsi="Times New Roman" w:eastAsia="Times New Roman" w:cs="Times New Roman"/>
              <w:spacing w:val="14"/>
              <w:sz w:val="31"/>
              <w:szCs w:val="31"/>
            </w:rPr>
            <w:t xml:space="preserve">  </w:t>
          </w:r>
          <w:r>
            <w:rPr>
              <w:rFonts w:ascii="宋体" w:hAnsi="宋体" w:eastAsia="宋体" w:cs="宋体"/>
              <w:spacing w:val="-5"/>
              <w:sz w:val="31"/>
              <w:szCs w:val="31"/>
            </w:rPr>
            <w:t>收费</w:t>
          </w:r>
          <w:r>
            <w:rPr>
              <w:rFonts w:ascii="宋体" w:hAnsi="宋体" w:eastAsia="宋体" w:cs="宋体"/>
              <w:spacing w:val="28"/>
              <w:sz w:val="31"/>
              <w:szCs w:val="31"/>
            </w:rPr>
            <w:t xml:space="preserve"> </w:t>
          </w:r>
          <w:r>
            <w:rPr>
              <w:rFonts w:ascii="宋体" w:hAnsi="宋体" w:eastAsia="宋体" w:cs="宋体"/>
              <w:sz w:val="31"/>
              <w:szCs w:val="31"/>
            </w:rPr>
            <w:tab/>
          </w:r>
          <w:r>
            <w:rPr>
              <w:rFonts w:ascii="Times New Roman" w:hAnsi="Times New Roman" w:eastAsia="Times New Roman" w:cs="Times New Roman"/>
              <w:spacing w:val="42"/>
              <w:w w:val="102"/>
              <w:sz w:val="31"/>
              <w:szCs w:val="31"/>
            </w:rPr>
            <w:t>14</w:t>
          </w:r>
        </w:p>
        <w:p w14:paraId="50E18957">
          <w:pPr>
            <w:tabs>
              <w:tab w:val="right" w:leader="dot" w:pos="9544"/>
            </w:tabs>
            <w:spacing w:before="101" w:line="225" w:lineRule="auto"/>
            <w:ind w:left="448"/>
            <w:rPr>
              <w:rFonts w:ascii="Times New Roman" w:hAnsi="Times New Roman" w:eastAsia="Times New Roman" w:cs="Times New Roman"/>
              <w:spacing w:val="42"/>
              <w:w w:val="102"/>
              <w:sz w:val="31"/>
              <w:szCs w:val="31"/>
            </w:rPr>
          </w:pPr>
        </w:p>
        <w:p w14:paraId="6822F075">
          <w:pPr>
            <w:tabs>
              <w:tab w:val="right" w:leader="dot" w:pos="9544"/>
            </w:tabs>
            <w:spacing w:before="101" w:line="225" w:lineRule="auto"/>
            <w:ind w:left="448"/>
            <w:rPr>
              <w:rFonts w:ascii="Times New Roman" w:hAnsi="Times New Roman" w:eastAsia="Times New Roman" w:cs="Times New Roman"/>
              <w:spacing w:val="42"/>
              <w:w w:val="102"/>
              <w:sz w:val="31"/>
              <w:szCs w:val="31"/>
            </w:rPr>
          </w:pPr>
        </w:p>
        <w:p w14:paraId="60616671">
          <w:pPr>
            <w:tabs>
              <w:tab w:val="right" w:leader="dot" w:pos="9544"/>
            </w:tabs>
            <w:spacing w:before="101" w:line="225" w:lineRule="auto"/>
            <w:ind w:left="448"/>
            <w:rPr>
              <w:rFonts w:ascii="Times New Roman" w:hAnsi="Times New Roman" w:eastAsia="Times New Roman" w:cs="Times New Roman"/>
              <w:spacing w:val="42"/>
              <w:w w:val="102"/>
              <w:sz w:val="31"/>
              <w:szCs w:val="31"/>
            </w:rPr>
          </w:pPr>
        </w:p>
        <w:p w14:paraId="016D5D16">
          <w:pPr>
            <w:tabs>
              <w:tab w:val="right" w:leader="dot" w:pos="9544"/>
            </w:tabs>
            <w:spacing w:before="101" w:line="225" w:lineRule="auto"/>
            <w:ind w:left="448"/>
            <w:rPr>
              <w:rFonts w:ascii="Times New Roman" w:hAnsi="Times New Roman" w:eastAsia="Times New Roman" w:cs="Times New Roman"/>
              <w:spacing w:val="42"/>
              <w:w w:val="102"/>
              <w:sz w:val="31"/>
              <w:szCs w:val="31"/>
            </w:rPr>
          </w:pPr>
        </w:p>
        <w:p w14:paraId="264BA0A6">
          <w:pPr>
            <w:tabs>
              <w:tab w:val="right" w:leader="dot" w:pos="9544"/>
            </w:tabs>
            <w:spacing w:before="101" w:line="225" w:lineRule="auto"/>
            <w:ind w:left="448"/>
            <w:rPr>
              <w:rFonts w:ascii="Times New Roman" w:hAnsi="Times New Roman" w:eastAsia="Times New Roman" w:cs="Times New Roman"/>
              <w:spacing w:val="42"/>
              <w:w w:val="102"/>
              <w:sz w:val="31"/>
              <w:szCs w:val="31"/>
            </w:rPr>
          </w:pPr>
        </w:p>
        <w:p w14:paraId="42648CDA">
          <w:pPr>
            <w:tabs>
              <w:tab w:val="right" w:leader="dot" w:pos="9544"/>
            </w:tabs>
            <w:spacing w:before="101" w:line="225" w:lineRule="auto"/>
            <w:ind w:left="448"/>
            <w:rPr>
              <w:rFonts w:ascii="Times New Roman" w:hAnsi="Times New Roman" w:eastAsia="Times New Roman" w:cs="Times New Roman"/>
              <w:spacing w:val="42"/>
              <w:w w:val="102"/>
              <w:sz w:val="31"/>
              <w:szCs w:val="31"/>
            </w:rPr>
          </w:pPr>
        </w:p>
        <w:p w14:paraId="654A84A3">
          <w:pPr>
            <w:tabs>
              <w:tab w:val="right" w:leader="dot" w:pos="9544"/>
            </w:tabs>
            <w:spacing w:before="101" w:line="225" w:lineRule="auto"/>
            <w:ind w:left="448"/>
            <w:rPr>
              <w:rFonts w:ascii="Times New Roman" w:hAnsi="Times New Roman" w:eastAsia="Times New Roman" w:cs="Times New Roman"/>
              <w:spacing w:val="42"/>
              <w:w w:val="102"/>
              <w:sz w:val="31"/>
              <w:szCs w:val="31"/>
            </w:rPr>
          </w:pPr>
        </w:p>
        <w:p w14:paraId="0B77BA08">
          <w:pPr>
            <w:tabs>
              <w:tab w:val="right" w:leader="dot" w:pos="9544"/>
            </w:tabs>
            <w:spacing w:before="101" w:line="225" w:lineRule="auto"/>
            <w:ind w:left="448"/>
            <w:rPr>
              <w:rFonts w:ascii="Times New Roman" w:hAnsi="Times New Roman" w:eastAsia="Times New Roman" w:cs="Times New Roman"/>
              <w:sz w:val="31"/>
              <w:szCs w:val="31"/>
            </w:rPr>
          </w:pPr>
        </w:p>
      </w:sdtContent>
    </w:sdt>
    <w:p w14:paraId="3E2DAE0E">
      <w:pPr>
        <w:spacing w:line="225" w:lineRule="auto"/>
        <w:rPr>
          <w:rFonts w:ascii="Times New Roman" w:hAnsi="Times New Roman" w:eastAsia="Times New Roman" w:cs="Times New Roman"/>
          <w:sz w:val="31"/>
          <w:szCs w:val="31"/>
        </w:rPr>
        <w:sectPr>
          <w:pgSz w:w="11907" w:h="16839"/>
          <w:pgMar w:top="568" w:right="1212" w:bottom="0" w:left="1020" w:header="0" w:footer="0" w:gutter="0"/>
          <w:cols w:space="720" w:num="1"/>
        </w:sectPr>
      </w:pPr>
    </w:p>
    <w:p w14:paraId="69F3FDC3">
      <w:pPr>
        <w:spacing w:line="383" w:lineRule="auto"/>
        <w:rPr>
          <w:rFonts w:ascii="Arial"/>
          <w:sz w:val="21"/>
        </w:rPr>
      </w:pPr>
    </w:p>
    <w:p w14:paraId="596BCEAE">
      <w:pPr>
        <w:spacing w:before="101" w:line="226" w:lineRule="auto"/>
        <w:ind w:left="133"/>
        <w:rPr>
          <w:rFonts w:hint="eastAsia" w:ascii="等线" w:hAnsi="等线" w:eastAsia="等线" w:cs="等线"/>
          <w:sz w:val="24"/>
          <w:szCs w:val="24"/>
        </w:rPr>
      </w:pPr>
      <w:bookmarkStart w:id="0" w:name="bookmark2"/>
      <w:bookmarkEnd w:id="0"/>
      <w:bookmarkStart w:id="1" w:name="bookmark1"/>
      <w:bookmarkEnd w:id="1"/>
      <w:r>
        <w:rPr>
          <w:rFonts w:hint="eastAsia" w:ascii="等线" w:hAnsi="等线" w:eastAsia="等线" w:cs="等线"/>
          <w:b/>
          <w:bCs/>
          <w:spacing w:val="3"/>
          <w:sz w:val="24"/>
          <w:szCs w:val="24"/>
        </w:rPr>
        <w:t>1</w:t>
      </w:r>
      <w:r>
        <w:rPr>
          <w:rFonts w:hint="eastAsia" w:ascii="等线" w:hAnsi="等线" w:eastAsia="等线" w:cs="等线"/>
          <w:b/>
          <w:bCs/>
          <w:spacing w:val="9"/>
          <w:sz w:val="24"/>
          <w:szCs w:val="24"/>
        </w:rPr>
        <w:t xml:space="preserve">  </w:t>
      </w:r>
      <w:r>
        <w:rPr>
          <w:rFonts w:hint="eastAsia" w:ascii="等线" w:hAnsi="等线" w:eastAsia="等线" w:cs="等线"/>
          <w:spacing w:val="3"/>
          <w:sz w:val="24"/>
          <w:szCs w:val="24"/>
          <w14:textOutline w14:w="5791" w14:cap="flat" w14:cmpd="sng">
            <w14:solidFill>
              <w14:srgbClr w14:val="000000"/>
            </w14:solidFill>
            <w14:prstDash w14:val="solid"/>
            <w14:miter w14:val="0"/>
          </w14:textOutline>
        </w:rPr>
        <w:t>适用范围</w:t>
      </w:r>
    </w:p>
    <w:p w14:paraId="02559827">
      <w:pPr>
        <w:spacing w:before="318" w:line="430" w:lineRule="auto"/>
        <w:ind w:left="123" w:firstLine="424"/>
        <w:rPr>
          <w:rFonts w:hint="eastAsia" w:ascii="等线" w:hAnsi="等线" w:eastAsia="等线" w:cs="等线"/>
          <w:spacing w:val="7"/>
          <w:sz w:val="24"/>
          <w:szCs w:val="24"/>
        </w:rPr>
      </w:pPr>
      <w:r>
        <w:rPr>
          <w:rFonts w:hint="eastAsia" w:ascii="等线" w:hAnsi="等线" w:eastAsia="等线" w:cs="等线"/>
          <w:spacing w:val="7"/>
          <w:sz w:val="24"/>
          <w:szCs w:val="24"/>
        </w:rPr>
        <w:t>本实施规则用于规范</w:t>
      </w:r>
      <w:r>
        <w:rPr>
          <w:rFonts w:hint="eastAsia" w:ascii="等线" w:hAnsi="等线" w:eastAsia="等线" w:cs="等线"/>
          <w:spacing w:val="7"/>
          <w:sz w:val="24"/>
          <w:szCs w:val="24"/>
          <w:lang w:eastAsia="zh-CN"/>
        </w:rPr>
        <w:t>华鼎四海（北京）认证有限公司</w:t>
      </w:r>
      <w:r>
        <w:rPr>
          <w:rFonts w:hint="eastAsia" w:ascii="等线" w:hAnsi="等线" w:eastAsia="等线" w:cs="等线"/>
          <w:spacing w:val="7"/>
          <w:sz w:val="24"/>
          <w:szCs w:val="24"/>
        </w:rPr>
        <w:t>（以下简称“</w:t>
      </w:r>
      <w:r>
        <w:rPr>
          <w:rFonts w:hint="eastAsia" w:ascii="等线" w:hAnsi="等线" w:eastAsia="等线" w:cs="等线"/>
          <w:spacing w:val="7"/>
          <w:sz w:val="24"/>
          <w:szCs w:val="24"/>
          <w:lang w:eastAsia="zh-CN"/>
        </w:rPr>
        <w:t>华鼎</w:t>
      </w:r>
      <w:r>
        <w:rPr>
          <w:rFonts w:hint="eastAsia" w:ascii="等线" w:hAnsi="等线" w:eastAsia="等线" w:cs="等线"/>
          <w:spacing w:val="7"/>
          <w:sz w:val="24"/>
          <w:szCs w:val="24"/>
        </w:rPr>
        <w:t>”）开展</w:t>
      </w:r>
      <w:r>
        <w:rPr>
          <w:rFonts w:hint="eastAsia" w:ascii="等线" w:hAnsi="等线" w:eastAsia="等线" w:cs="等线"/>
          <w:spacing w:val="7"/>
          <w:sz w:val="24"/>
          <w:szCs w:val="24"/>
          <w:lang w:eastAsia="zh-CN"/>
        </w:rPr>
        <w:t>商品经营企业服务</w:t>
      </w:r>
      <w:r>
        <w:rPr>
          <w:rFonts w:hint="eastAsia" w:ascii="等线" w:hAnsi="等线" w:eastAsia="等线" w:cs="等线"/>
          <w:spacing w:val="7"/>
          <w:sz w:val="24"/>
          <w:szCs w:val="24"/>
        </w:rPr>
        <w:t>和</w:t>
      </w:r>
      <w:r>
        <w:rPr>
          <w:rFonts w:hint="eastAsia" w:ascii="等线" w:hAnsi="等线" w:eastAsia="等线" w:cs="等线"/>
          <w:spacing w:val="7"/>
          <w:sz w:val="24"/>
          <w:szCs w:val="24"/>
          <w:lang w:val="en-US" w:eastAsia="zh-CN"/>
        </w:rPr>
        <w:t>商品</w:t>
      </w:r>
      <w:r>
        <w:rPr>
          <w:rFonts w:hint="eastAsia" w:ascii="等线" w:hAnsi="等线" w:eastAsia="等线" w:cs="等线"/>
          <w:spacing w:val="7"/>
          <w:sz w:val="24"/>
          <w:szCs w:val="24"/>
        </w:rPr>
        <w:t>售后服务认证活动。</w:t>
      </w:r>
    </w:p>
    <w:p w14:paraId="1D651E1C">
      <w:pPr>
        <w:spacing w:before="318" w:line="430" w:lineRule="auto"/>
        <w:ind w:left="123" w:firstLine="424"/>
        <w:rPr>
          <w:rFonts w:hint="eastAsia" w:ascii="等线" w:hAnsi="等线" w:eastAsia="等线" w:cs="等线"/>
          <w:spacing w:val="7"/>
          <w:sz w:val="24"/>
          <w:szCs w:val="24"/>
        </w:rPr>
      </w:pPr>
      <w:r>
        <w:rPr>
          <w:rFonts w:hint="eastAsia" w:ascii="等线" w:hAnsi="等线" w:eastAsia="等线" w:cs="等线"/>
          <w:spacing w:val="7"/>
          <w:sz w:val="24"/>
          <w:szCs w:val="24"/>
        </w:rPr>
        <w:t>制定本规则旨在结合认证认可相关法律法规和技术标准对审查组织</w:t>
      </w:r>
      <w:r>
        <w:rPr>
          <w:rFonts w:hint="eastAsia" w:ascii="等线" w:hAnsi="等线" w:eastAsia="等线" w:cs="等线"/>
          <w:spacing w:val="7"/>
          <w:sz w:val="24"/>
          <w:szCs w:val="24"/>
          <w:lang w:eastAsia="zh-CN"/>
        </w:rPr>
        <w:t>商品经营企业</w:t>
      </w:r>
      <w:r>
        <w:rPr>
          <w:rFonts w:hint="eastAsia" w:ascii="等线" w:hAnsi="等线" w:eastAsia="等线" w:cs="等线"/>
          <w:spacing w:val="7"/>
          <w:sz w:val="24"/>
          <w:szCs w:val="24"/>
          <w:lang w:val="en-US" w:eastAsia="zh-CN"/>
        </w:rPr>
        <w:t>服务</w:t>
      </w:r>
      <w:r>
        <w:rPr>
          <w:rFonts w:hint="eastAsia" w:ascii="等线" w:hAnsi="等线" w:eastAsia="等线" w:cs="等线"/>
          <w:spacing w:val="7"/>
          <w:sz w:val="24"/>
          <w:szCs w:val="24"/>
        </w:rPr>
        <w:t>及</w:t>
      </w:r>
      <w:r>
        <w:rPr>
          <w:rFonts w:hint="eastAsia" w:ascii="等线" w:hAnsi="等线" w:eastAsia="等线" w:cs="等线"/>
          <w:spacing w:val="7"/>
          <w:sz w:val="24"/>
          <w:szCs w:val="24"/>
          <w:lang w:val="en-US" w:eastAsia="zh-CN"/>
        </w:rPr>
        <w:t>商品</w:t>
      </w:r>
      <w:r>
        <w:rPr>
          <w:rFonts w:hint="eastAsia" w:ascii="等线" w:hAnsi="等线" w:eastAsia="等线" w:cs="等线"/>
          <w:spacing w:val="7"/>
          <w:sz w:val="24"/>
          <w:szCs w:val="24"/>
        </w:rPr>
        <w:t>售后服务实施过程做出具体规定，明确</w:t>
      </w:r>
      <w:r>
        <w:rPr>
          <w:rFonts w:hint="eastAsia" w:ascii="等线" w:hAnsi="等线" w:eastAsia="等线" w:cs="等线"/>
          <w:spacing w:val="7"/>
          <w:sz w:val="24"/>
          <w:szCs w:val="24"/>
          <w:lang w:eastAsia="zh-CN"/>
        </w:rPr>
        <w:t>华鼎</w:t>
      </w:r>
      <w:r>
        <w:rPr>
          <w:rFonts w:hint="eastAsia" w:ascii="等线" w:hAnsi="等线" w:eastAsia="等线" w:cs="等线"/>
          <w:spacing w:val="7"/>
          <w:sz w:val="24"/>
          <w:szCs w:val="24"/>
        </w:rPr>
        <w:t>对认证过程的管理</w:t>
      </w:r>
      <w:r>
        <w:rPr>
          <w:rFonts w:hint="eastAsia" w:ascii="等线" w:hAnsi="等线" w:eastAsia="等线" w:cs="等线"/>
          <w:spacing w:val="7"/>
          <w:sz w:val="24"/>
          <w:szCs w:val="24"/>
          <w:lang w:val="en-US" w:eastAsia="zh-CN"/>
        </w:rPr>
        <w:t>职</w:t>
      </w:r>
      <w:r>
        <w:rPr>
          <w:rFonts w:hint="eastAsia" w:ascii="等线" w:hAnsi="等线" w:eastAsia="等线" w:cs="等线"/>
          <w:spacing w:val="7"/>
          <w:sz w:val="24"/>
          <w:szCs w:val="24"/>
        </w:rPr>
        <w:t>责，保证认证活动的规范有效。</w:t>
      </w:r>
    </w:p>
    <w:p w14:paraId="7FDDA9EA">
      <w:pPr>
        <w:spacing w:before="296" w:line="225" w:lineRule="auto"/>
        <w:ind w:left="120"/>
        <w:rPr>
          <w:rFonts w:hint="eastAsia" w:ascii="等线" w:hAnsi="等线" w:eastAsia="等线" w:cs="等线"/>
          <w:sz w:val="24"/>
          <w:szCs w:val="24"/>
        </w:rPr>
      </w:pPr>
      <w:r>
        <w:rPr>
          <w:rFonts w:hint="eastAsia" w:ascii="等线" w:hAnsi="等线" w:eastAsia="等线" w:cs="等线"/>
          <w:b/>
          <w:bCs/>
          <w:spacing w:val="8"/>
          <w:sz w:val="24"/>
          <w:szCs w:val="24"/>
        </w:rPr>
        <w:t xml:space="preserve">2  </w:t>
      </w:r>
      <w:r>
        <w:rPr>
          <w:rFonts w:hint="eastAsia" w:ascii="等线" w:hAnsi="等线" w:eastAsia="等线" w:cs="等线"/>
          <w:spacing w:val="8"/>
          <w:sz w:val="24"/>
          <w:szCs w:val="24"/>
          <w14:textOutline w14:w="5791" w14:cap="flat" w14:cmpd="sng">
            <w14:solidFill>
              <w14:srgbClr w14:val="000000"/>
            </w14:solidFill>
            <w14:prstDash w14:val="solid"/>
            <w14:miter w14:val="0"/>
          </w14:textOutline>
        </w:rPr>
        <w:t>认证模式和认证程序</w:t>
      </w:r>
    </w:p>
    <w:p w14:paraId="471C5CCD">
      <w:pPr>
        <w:spacing w:before="293" w:line="220" w:lineRule="auto"/>
        <w:ind w:left="546"/>
        <w:rPr>
          <w:rFonts w:hint="eastAsia" w:ascii="等线" w:hAnsi="等线" w:eastAsia="等线" w:cs="等线"/>
          <w:sz w:val="24"/>
          <w:szCs w:val="24"/>
        </w:rPr>
      </w:pPr>
      <w:r>
        <w:rPr>
          <w:rFonts w:hint="eastAsia" w:ascii="等线" w:hAnsi="等线" w:eastAsia="等线" w:cs="等线"/>
          <w:spacing w:val="-1"/>
          <w:sz w:val="24"/>
          <w:szCs w:val="24"/>
        </w:rPr>
        <w:t>认证模式：初始服务认证审查+获证后监督+再认证；</w:t>
      </w:r>
    </w:p>
    <w:p w14:paraId="58DA2508">
      <w:pPr>
        <w:spacing w:before="319" w:line="220" w:lineRule="auto"/>
        <w:ind w:left="546"/>
        <w:rPr>
          <w:rFonts w:hint="eastAsia" w:ascii="等线" w:hAnsi="等线" w:eastAsia="等线" w:cs="等线"/>
          <w:sz w:val="24"/>
          <w:szCs w:val="24"/>
        </w:rPr>
      </w:pPr>
      <w:r>
        <w:rPr>
          <w:rFonts w:hint="eastAsia" w:ascii="等线" w:hAnsi="等线" w:eastAsia="等线" w:cs="等线"/>
          <w:spacing w:val="-1"/>
          <w:sz w:val="24"/>
          <w:szCs w:val="24"/>
        </w:rPr>
        <w:t>服务认证审查包括：服务特性测评+服务管理审查</w:t>
      </w:r>
      <w:r>
        <w:rPr>
          <w:rFonts w:hint="eastAsia" w:ascii="等线" w:hAnsi="等线" w:eastAsia="等线" w:cs="等线"/>
          <w:spacing w:val="-70"/>
          <w:sz w:val="24"/>
          <w:szCs w:val="24"/>
        </w:rPr>
        <w:t>；</w:t>
      </w:r>
    </w:p>
    <w:p w14:paraId="0FCB31FA">
      <w:pPr>
        <w:spacing w:before="319" w:line="430" w:lineRule="auto"/>
        <w:ind w:left="541" w:right="1" w:firstLine="5"/>
        <w:jc w:val="both"/>
        <w:rPr>
          <w:rFonts w:hint="eastAsia" w:ascii="等线" w:hAnsi="等线" w:eastAsia="等线" w:cs="等线"/>
          <w:spacing w:val="8"/>
          <w:sz w:val="24"/>
          <w:szCs w:val="24"/>
          <w:lang w:val="en-US" w:eastAsia="zh-CN"/>
        </w:rPr>
      </w:pPr>
      <w:r>
        <w:rPr>
          <w:rFonts w:hint="eastAsia" w:ascii="等线" w:hAnsi="等线" w:eastAsia="等线" w:cs="等线"/>
          <w:spacing w:val="-4"/>
          <w:sz w:val="24"/>
          <w:szCs w:val="24"/>
        </w:rPr>
        <w:t>其中：</w:t>
      </w:r>
      <w:r>
        <w:rPr>
          <w:rFonts w:hint="eastAsia" w:ascii="等线" w:hAnsi="等线" w:eastAsia="等线" w:cs="等线"/>
          <w:spacing w:val="-39"/>
          <w:sz w:val="24"/>
          <w:szCs w:val="24"/>
        </w:rPr>
        <w:t xml:space="preserve"> </w:t>
      </w:r>
      <w:r>
        <w:rPr>
          <w:rFonts w:hint="eastAsia" w:ascii="等线" w:hAnsi="等线" w:eastAsia="等线" w:cs="等线"/>
          <w:spacing w:val="-4"/>
          <w:sz w:val="24"/>
          <w:szCs w:val="24"/>
        </w:rPr>
        <w:t>服务特性测评是对服务提供标准符合性的审查；服</w:t>
      </w:r>
      <w:r>
        <w:rPr>
          <w:rFonts w:hint="eastAsia" w:ascii="等线" w:hAnsi="等线" w:eastAsia="等线" w:cs="等线"/>
          <w:spacing w:val="-5"/>
          <w:sz w:val="24"/>
          <w:szCs w:val="24"/>
        </w:rPr>
        <w:t>务管理审查是对认</w:t>
      </w:r>
      <w:r>
        <w:rPr>
          <w:rFonts w:hint="eastAsia" w:ascii="等线" w:hAnsi="等线" w:eastAsia="等线" w:cs="等线"/>
          <w:sz w:val="24"/>
          <w:szCs w:val="24"/>
        </w:rPr>
        <w:t xml:space="preserve"> </w:t>
      </w:r>
      <w:r>
        <w:rPr>
          <w:rFonts w:hint="eastAsia" w:ascii="等线" w:hAnsi="等线" w:eastAsia="等线" w:cs="等线"/>
          <w:spacing w:val="8"/>
          <w:sz w:val="24"/>
          <w:szCs w:val="24"/>
        </w:rPr>
        <w:t>证申请方服务</w:t>
      </w:r>
      <w:r>
        <w:rPr>
          <w:rFonts w:hint="eastAsia" w:ascii="等线" w:hAnsi="等线" w:eastAsia="等线" w:cs="等线"/>
          <w:spacing w:val="8"/>
          <w:sz w:val="24"/>
          <w:szCs w:val="24"/>
          <w:lang w:eastAsia="zh-CN"/>
        </w:rPr>
        <w:t>服务体系</w:t>
      </w:r>
      <w:r>
        <w:rPr>
          <w:rFonts w:hint="eastAsia" w:ascii="等线" w:hAnsi="等线" w:eastAsia="等线" w:cs="等线"/>
          <w:spacing w:val="8"/>
          <w:sz w:val="24"/>
          <w:szCs w:val="24"/>
        </w:rPr>
        <w:t>有效性的审查；</w:t>
      </w:r>
      <w:r>
        <w:rPr>
          <w:rFonts w:hint="eastAsia" w:ascii="等线" w:hAnsi="等线" w:eastAsia="等线" w:cs="等线"/>
          <w:spacing w:val="8"/>
          <w:sz w:val="24"/>
          <w:szCs w:val="24"/>
          <w:highlight w:val="yellow"/>
        </w:rPr>
        <w:t>服务特性测评的</w:t>
      </w:r>
      <w:r>
        <w:rPr>
          <w:rFonts w:hint="eastAsia" w:ascii="等线" w:hAnsi="等线" w:eastAsia="等线" w:cs="等线"/>
          <w:spacing w:val="8"/>
          <w:sz w:val="24"/>
          <w:szCs w:val="24"/>
          <w:highlight w:val="yellow"/>
          <w:lang w:val="en-US" w:eastAsia="zh-CN"/>
        </w:rPr>
        <w:t>方法：</w:t>
      </w:r>
      <w:r>
        <w:rPr>
          <w:rFonts w:hint="eastAsia" w:ascii="等线" w:hAnsi="等线" w:eastAsia="等线" w:cs="等线"/>
          <w:spacing w:val="8"/>
          <w:sz w:val="24"/>
          <w:szCs w:val="24"/>
          <w:highlight w:val="yellow"/>
        </w:rPr>
        <w:t>服务体验、现场测试、现场观察、顾客调查</w:t>
      </w:r>
      <w:r>
        <w:rPr>
          <w:rFonts w:hint="eastAsia" w:ascii="等线" w:hAnsi="等线" w:eastAsia="等线" w:cs="等线"/>
          <w:spacing w:val="8"/>
          <w:sz w:val="24"/>
          <w:szCs w:val="24"/>
          <w:highlight w:val="yellow"/>
          <w:lang w:val="en-US" w:eastAsia="zh-CN"/>
        </w:rPr>
        <w:t>等。</w:t>
      </w:r>
    </w:p>
    <w:p w14:paraId="28CA4318">
      <w:pPr>
        <w:spacing w:line="219" w:lineRule="auto"/>
        <w:ind w:left="547"/>
        <w:rPr>
          <w:rFonts w:hint="eastAsia" w:ascii="等线" w:hAnsi="等线" w:eastAsia="等线" w:cs="等线"/>
          <w:sz w:val="24"/>
          <w:szCs w:val="24"/>
        </w:rPr>
      </w:pPr>
      <w:r>
        <w:rPr>
          <w:rFonts w:hint="eastAsia" w:ascii="等线" w:hAnsi="等线" w:eastAsia="等线" w:cs="等线"/>
          <w:spacing w:val="-5"/>
          <w:sz w:val="24"/>
          <w:szCs w:val="24"/>
        </w:rPr>
        <w:t>认证的基本程序：</w:t>
      </w:r>
    </w:p>
    <w:p w14:paraId="0419FE9F">
      <w:pPr>
        <w:spacing w:before="320" w:line="651" w:lineRule="exact"/>
        <w:ind w:left="542"/>
        <w:rPr>
          <w:rFonts w:hint="eastAsia" w:ascii="等线" w:hAnsi="等线" w:eastAsia="等线" w:cs="等线"/>
          <w:sz w:val="24"/>
          <w:szCs w:val="24"/>
        </w:rPr>
      </w:pPr>
      <w:r>
        <w:rPr>
          <w:rFonts w:hint="eastAsia" w:ascii="等线" w:hAnsi="等线" w:eastAsia="等线" w:cs="等线"/>
          <w:spacing w:val="-2"/>
          <w:position w:val="28"/>
          <w:sz w:val="24"/>
          <w:szCs w:val="24"/>
        </w:rPr>
        <w:t>a) 认证申请</w:t>
      </w:r>
    </w:p>
    <w:p w14:paraId="68142F2B">
      <w:pPr>
        <w:spacing w:line="220" w:lineRule="auto"/>
        <w:ind w:left="537"/>
        <w:rPr>
          <w:rFonts w:hint="eastAsia" w:ascii="等线" w:hAnsi="等线" w:eastAsia="等线" w:cs="等线"/>
          <w:sz w:val="24"/>
          <w:szCs w:val="24"/>
        </w:rPr>
      </w:pPr>
      <w:r>
        <w:rPr>
          <w:rFonts w:hint="eastAsia" w:ascii="等线" w:hAnsi="等线" w:eastAsia="等线" w:cs="等线"/>
          <w:spacing w:val="-9"/>
          <w:sz w:val="24"/>
          <w:szCs w:val="24"/>
        </w:rPr>
        <w:t>b)</w:t>
      </w:r>
      <w:r>
        <w:rPr>
          <w:rFonts w:hint="eastAsia" w:ascii="等线" w:hAnsi="等线" w:eastAsia="等线" w:cs="等线"/>
          <w:spacing w:val="49"/>
          <w:sz w:val="24"/>
          <w:szCs w:val="24"/>
        </w:rPr>
        <w:t xml:space="preserve"> </w:t>
      </w:r>
      <w:r>
        <w:rPr>
          <w:rFonts w:hint="eastAsia" w:ascii="等线" w:hAnsi="等线" w:eastAsia="等线" w:cs="等线"/>
          <w:spacing w:val="-9"/>
          <w:sz w:val="24"/>
          <w:szCs w:val="24"/>
        </w:rPr>
        <w:t>申请评审</w:t>
      </w:r>
    </w:p>
    <w:p w14:paraId="3E915D42">
      <w:pPr>
        <w:spacing w:before="319" w:line="220" w:lineRule="auto"/>
        <w:ind w:left="547"/>
        <w:rPr>
          <w:rFonts w:hint="eastAsia" w:ascii="等线" w:hAnsi="等线" w:eastAsia="等线" w:cs="等线"/>
          <w:sz w:val="24"/>
          <w:szCs w:val="24"/>
        </w:rPr>
      </w:pPr>
      <w:r>
        <w:rPr>
          <w:rFonts w:hint="eastAsia" w:ascii="等线" w:hAnsi="等线" w:eastAsia="等线" w:cs="等线"/>
          <w:spacing w:val="-5"/>
          <w:sz w:val="24"/>
          <w:szCs w:val="24"/>
        </w:rPr>
        <w:t>c)</w:t>
      </w:r>
      <w:r>
        <w:rPr>
          <w:rFonts w:hint="eastAsia" w:ascii="等线" w:hAnsi="等线" w:eastAsia="等线" w:cs="等线"/>
          <w:spacing w:val="15"/>
          <w:sz w:val="24"/>
          <w:szCs w:val="24"/>
        </w:rPr>
        <w:t xml:space="preserve"> </w:t>
      </w:r>
      <w:r>
        <w:rPr>
          <w:rFonts w:hint="eastAsia" w:ascii="等线" w:hAnsi="等线" w:eastAsia="等线" w:cs="等线"/>
          <w:spacing w:val="-5"/>
          <w:sz w:val="24"/>
          <w:szCs w:val="24"/>
        </w:rPr>
        <w:t>文件审查</w:t>
      </w:r>
    </w:p>
    <w:p w14:paraId="66131569">
      <w:pPr>
        <w:spacing w:before="319" w:line="221" w:lineRule="auto"/>
        <w:ind w:left="547"/>
        <w:rPr>
          <w:rFonts w:hint="eastAsia" w:ascii="等线" w:hAnsi="等线" w:eastAsia="等线" w:cs="等线"/>
          <w:sz w:val="24"/>
          <w:szCs w:val="24"/>
        </w:rPr>
      </w:pPr>
      <w:r>
        <w:rPr>
          <w:rFonts w:hint="eastAsia" w:ascii="等线" w:hAnsi="等线" w:eastAsia="等线" w:cs="等线"/>
          <w:spacing w:val="-2"/>
          <w:sz w:val="24"/>
          <w:szCs w:val="24"/>
        </w:rPr>
        <w:t>d) 初始现场审查</w:t>
      </w:r>
    </w:p>
    <w:p w14:paraId="382D9367">
      <w:pPr>
        <w:spacing w:before="316" w:line="220" w:lineRule="auto"/>
        <w:ind w:left="548"/>
        <w:rPr>
          <w:rFonts w:hint="eastAsia" w:ascii="等线" w:hAnsi="等线" w:eastAsia="等线" w:cs="等线"/>
          <w:sz w:val="24"/>
          <w:szCs w:val="24"/>
        </w:rPr>
      </w:pPr>
      <w:r>
        <w:rPr>
          <w:rFonts w:hint="eastAsia" w:ascii="等线" w:hAnsi="等线" w:eastAsia="等线" w:cs="等线"/>
          <w:spacing w:val="-2"/>
          <w:sz w:val="24"/>
          <w:szCs w:val="24"/>
        </w:rPr>
        <w:t>e) 认证决定与批准</w:t>
      </w:r>
    </w:p>
    <w:p w14:paraId="02DBA0BA">
      <w:pPr>
        <w:spacing w:before="319" w:line="220" w:lineRule="auto"/>
        <w:ind w:left="546"/>
        <w:rPr>
          <w:rFonts w:hint="eastAsia" w:ascii="等线" w:hAnsi="等线" w:eastAsia="等线" w:cs="等线"/>
          <w:sz w:val="24"/>
          <w:szCs w:val="24"/>
        </w:rPr>
      </w:pPr>
      <w:r>
        <w:rPr>
          <w:rFonts w:hint="eastAsia" w:ascii="等线" w:hAnsi="等线" w:eastAsia="等线" w:cs="等线"/>
          <w:spacing w:val="-1"/>
          <w:sz w:val="24"/>
          <w:szCs w:val="24"/>
        </w:rPr>
        <w:t>f) 获证后的监督审查与再认证审查</w:t>
      </w:r>
    </w:p>
    <w:p w14:paraId="36BCF269">
      <w:pPr>
        <w:spacing w:before="299" w:line="224" w:lineRule="auto"/>
        <w:ind w:left="117"/>
        <w:rPr>
          <w:rFonts w:hint="eastAsia" w:ascii="等线" w:hAnsi="等线" w:eastAsia="等线" w:cs="等线"/>
          <w:sz w:val="24"/>
          <w:szCs w:val="24"/>
        </w:rPr>
      </w:pPr>
      <w:r>
        <w:rPr>
          <w:rFonts w:hint="eastAsia" w:ascii="等线" w:hAnsi="等线" w:eastAsia="等线" w:cs="等线"/>
          <w:b/>
          <w:bCs/>
          <w:spacing w:val="6"/>
          <w:sz w:val="24"/>
          <w:szCs w:val="24"/>
        </w:rPr>
        <w:t>3</w:t>
      </w:r>
      <w:r>
        <w:rPr>
          <w:rFonts w:hint="eastAsia" w:ascii="等线" w:hAnsi="等线" w:eastAsia="等线" w:cs="等线"/>
          <w:b/>
          <w:bCs/>
          <w:spacing w:val="9"/>
          <w:sz w:val="24"/>
          <w:szCs w:val="24"/>
        </w:rPr>
        <w:t xml:space="preserve">  </w:t>
      </w:r>
      <w:r>
        <w:rPr>
          <w:rFonts w:hint="eastAsia" w:ascii="等线" w:hAnsi="等线" w:eastAsia="等线" w:cs="等线"/>
          <w:spacing w:val="6"/>
          <w:sz w:val="24"/>
          <w:szCs w:val="24"/>
          <w14:textOutline w14:w="5791" w14:cap="flat" w14:cmpd="sng">
            <w14:solidFill>
              <w14:srgbClr w14:val="000000"/>
            </w14:solidFill>
            <w14:prstDash w14:val="solid"/>
            <w14:miter w14:val="0"/>
          </w14:textOutline>
        </w:rPr>
        <w:t>认证依据</w:t>
      </w:r>
    </w:p>
    <w:p w14:paraId="0872E304">
      <w:pPr>
        <w:spacing w:before="186" w:line="653" w:lineRule="exact"/>
        <w:ind w:left="437"/>
        <w:rPr>
          <w:rFonts w:hint="eastAsia" w:ascii="等线" w:hAnsi="等线" w:eastAsia="等线" w:cs="等线"/>
          <w:sz w:val="24"/>
          <w:szCs w:val="24"/>
        </w:rPr>
      </w:pPr>
      <w:r>
        <w:rPr>
          <w:rFonts w:hint="eastAsia" w:ascii="等线" w:hAnsi="等线" w:eastAsia="等线" w:cs="等线"/>
          <w:spacing w:val="-1"/>
          <w:position w:val="28"/>
          <w:sz w:val="24"/>
          <w:szCs w:val="24"/>
        </w:rPr>
        <w:t>SB/T 10962-2013《商品经营企业服务质量评价体系》</w:t>
      </w:r>
    </w:p>
    <w:p w14:paraId="69F5913E">
      <w:pPr>
        <w:spacing w:line="218" w:lineRule="auto"/>
        <w:ind w:left="432"/>
        <w:rPr>
          <w:rFonts w:hint="eastAsia" w:ascii="等线" w:hAnsi="等线" w:eastAsia="等线" w:cs="等线"/>
          <w:sz w:val="24"/>
          <w:szCs w:val="24"/>
        </w:rPr>
      </w:pPr>
      <w:r>
        <w:rPr>
          <w:rFonts w:hint="eastAsia" w:ascii="等线" w:hAnsi="等线" w:eastAsia="等线" w:cs="等线"/>
          <w:spacing w:val="-1"/>
          <w:sz w:val="24"/>
          <w:szCs w:val="24"/>
        </w:rPr>
        <w:t>GB/T 27922-2011《商品售后服务评价体系》</w:t>
      </w:r>
    </w:p>
    <w:p w14:paraId="52D2AFEA">
      <w:pPr>
        <w:spacing w:line="219" w:lineRule="auto"/>
        <w:rPr>
          <w:rFonts w:hint="eastAsia" w:ascii="等线" w:hAnsi="等线" w:eastAsia="等线" w:cs="等线"/>
          <w:sz w:val="24"/>
          <w:szCs w:val="24"/>
        </w:rPr>
        <w:sectPr>
          <w:pgSz w:w="11907" w:h="16839"/>
          <w:pgMar w:top="568" w:right="1135" w:bottom="0" w:left="1020" w:header="0" w:footer="0" w:gutter="0"/>
          <w:cols w:space="720" w:num="1"/>
        </w:sectPr>
      </w:pPr>
    </w:p>
    <w:p w14:paraId="118811E7">
      <w:pPr>
        <w:spacing w:before="312" w:line="220" w:lineRule="auto"/>
        <w:ind w:left="120"/>
        <w:outlineLvl w:val="0"/>
        <w:rPr>
          <w:rFonts w:hint="default" w:ascii="等线" w:hAnsi="等线" w:eastAsia="等线" w:cs="等线"/>
          <w:sz w:val="24"/>
          <w:szCs w:val="24"/>
          <w:lang w:val="en-US" w:eastAsia="zh-CN"/>
        </w:rPr>
      </w:pPr>
      <w:bookmarkStart w:id="2" w:name="bookmark4"/>
      <w:bookmarkEnd w:id="2"/>
      <w:bookmarkStart w:id="3" w:name="bookmark3"/>
      <w:bookmarkEnd w:id="3"/>
      <w:r>
        <w:rPr>
          <w:rFonts w:hint="eastAsia" w:ascii="等线" w:hAnsi="等线" w:eastAsia="等线" w:cs="等线"/>
          <w:b/>
          <w:bCs/>
          <w:sz w:val="24"/>
          <w:szCs w:val="24"/>
        </w:rPr>
        <w:t xml:space="preserve">4  </w:t>
      </w:r>
      <w:r>
        <w:rPr>
          <w:rFonts w:hint="eastAsia" w:ascii="等线" w:hAnsi="等线" w:eastAsia="等线" w:cs="等线"/>
          <w:sz w:val="24"/>
          <w:szCs w:val="24"/>
          <w14:textOutline w14:w="5442" w14:cap="flat" w14:cmpd="sng">
            <w14:solidFill>
              <w14:srgbClr w14:val="000000"/>
            </w14:solidFill>
            <w14:prstDash w14:val="solid"/>
            <w14:miter w14:val="0"/>
          </w14:textOutline>
        </w:rPr>
        <w:t>认证方法、认证级别、审查方案</w:t>
      </w:r>
      <w:r>
        <w:rPr>
          <w:rFonts w:hint="eastAsia" w:ascii="等线" w:hAnsi="等线" w:eastAsia="等线" w:cs="等线"/>
          <w:sz w:val="24"/>
          <w:szCs w:val="24"/>
          <w:lang w:eastAsia="zh-CN"/>
          <w14:textOutline w14:w="5442" w14:cap="flat" w14:cmpd="sng">
            <w14:solidFill>
              <w14:srgbClr w14:val="000000"/>
            </w14:solidFill>
            <w14:prstDash w14:val="solid"/>
            <w14:miter w14:val="0"/>
          </w14:textOutline>
        </w:rPr>
        <w:t>、</w:t>
      </w:r>
      <w:r>
        <w:rPr>
          <w:rFonts w:hint="eastAsia" w:ascii="等线" w:hAnsi="等线" w:eastAsia="等线" w:cs="等线"/>
          <w:sz w:val="24"/>
          <w:szCs w:val="24"/>
          <w:lang w:val="en-US" w:eastAsia="zh-CN"/>
          <w14:textOutline w14:w="5442" w14:cap="flat" w14:cmpd="sng">
            <w14:solidFill>
              <w14:srgbClr w14:val="000000"/>
            </w14:solidFill>
            <w14:prstDash w14:val="solid"/>
            <w14:miter w14:val="0"/>
          </w14:textOutline>
        </w:rPr>
        <w:t>技术领域、人员能力要求</w:t>
      </w:r>
    </w:p>
    <w:p w14:paraId="6888136A">
      <w:pPr>
        <w:spacing w:before="302" w:line="221" w:lineRule="auto"/>
        <w:ind w:left="435"/>
        <w:rPr>
          <w:rFonts w:hint="eastAsia" w:ascii="等线" w:hAnsi="等线" w:eastAsia="等线" w:cs="等线"/>
          <w:sz w:val="24"/>
          <w:szCs w:val="24"/>
        </w:rPr>
      </w:pPr>
      <w:r>
        <w:rPr>
          <w:rFonts w:hint="eastAsia" w:ascii="等线" w:hAnsi="等线" w:eastAsia="等线" w:cs="等线"/>
          <w:spacing w:val="-3"/>
          <w:sz w:val="24"/>
          <w:szCs w:val="24"/>
        </w:rPr>
        <w:t>4.1</w:t>
      </w:r>
      <w:r>
        <w:rPr>
          <w:rFonts w:hint="eastAsia" w:ascii="等线" w:hAnsi="等线" w:eastAsia="等线" w:cs="等线"/>
          <w:spacing w:val="-57"/>
          <w:sz w:val="24"/>
          <w:szCs w:val="24"/>
        </w:rPr>
        <w:t xml:space="preserve"> </w:t>
      </w:r>
      <w:r>
        <w:rPr>
          <w:rFonts w:hint="eastAsia" w:ascii="等线" w:hAnsi="等线" w:eastAsia="等线" w:cs="等线"/>
          <w:spacing w:val="-3"/>
          <w:sz w:val="24"/>
          <w:szCs w:val="24"/>
        </w:rPr>
        <w:t>认证方法</w:t>
      </w:r>
    </w:p>
    <w:p w14:paraId="5FA420E1">
      <w:pPr>
        <w:spacing w:before="316" w:line="653" w:lineRule="exact"/>
        <w:ind w:left="436"/>
        <w:rPr>
          <w:rFonts w:hint="eastAsia" w:ascii="等线" w:hAnsi="等线" w:eastAsia="等线" w:cs="等线"/>
          <w:spacing w:val="2"/>
          <w:position w:val="28"/>
          <w:sz w:val="24"/>
          <w:szCs w:val="24"/>
        </w:rPr>
      </w:pPr>
      <w:r>
        <w:rPr>
          <w:rFonts w:hint="eastAsia" w:ascii="等线" w:hAnsi="等线" w:eastAsia="等线" w:cs="等线"/>
          <w:spacing w:val="2"/>
          <w:position w:val="28"/>
          <w:sz w:val="24"/>
          <w:szCs w:val="24"/>
        </w:rPr>
        <w:t>服务认证是依据相关认证标准，对受评审方进行服务特性测评审查，确认满足认证标准要求后，通过出具认证证书证明其满足程度的过程。</w:t>
      </w:r>
    </w:p>
    <w:p w14:paraId="55B9E9FC">
      <w:pPr>
        <w:spacing w:before="316" w:line="653" w:lineRule="exact"/>
        <w:ind w:left="436"/>
        <w:rPr>
          <w:rFonts w:hint="eastAsia" w:ascii="等线" w:hAnsi="等线" w:eastAsia="等线" w:cs="等线"/>
          <w:spacing w:val="2"/>
          <w:position w:val="28"/>
          <w:sz w:val="24"/>
          <w:szCs w:val="24"/>
        </w:rPr>
      </w:pPr>
      <w:r>
        <w:rPr>
          <w:rFonts w:hint="eastAsia" w:ascii="等线" w:hAnsi="等线" w:eastAsia="等线" w:cs="等线"/>
          <w:spacing w:val="2"/>
          <w:position w:val="28"/>
          <w:sz w:val="24"/>
          <w:szCs w:val="24"/>
        </w:rPr>
        <w:t>服务特性测评审查采用评分制，对申请组织的服务水平进行审查，依据评分值审查企业服务水平是否达标和达标程度。</w:t>
      </w:r>
    </w:p>
    <w:p w14:paraId="0BA0441B">
      <w:pPr>
        <w:spacing w:before="318" w:line="430" w:lineRule="auto"/>
        <w:ind w:left="436" w:hanging="1"/>
        <w:jc w:val="both"/>
        <w:rPr>
          <w:rFonts w:hint="eastAsia" w:ascii="等线" w:hAnsi="等线" w:eastAsia="等线" w:cs="等线"/>
          <w:spacing w:val="-14"/>
          <w:sz w:val="24"/>
          <w:szCs w:val="24"/>
        </w:rPr>
      </w:pPr>
      <w:r>
        <w:rPr>
          <w:rFonts w:hint="eastAsia" w:ascii="等线" w:hAnsi="等线" w:eastAsia="等线" w:cs="等线"/>
          <w:spacing w:val="1"/>
          <w:sz w:val="24"/>
          <w:szCs w:val="24"/>
          <w:lang w:eastAsia="zh-CN"/>
        </w:rPr>
        <w:t>商品经营企业服务</w:t>
      </w:r>
      <w:r>
        <w:rPr>
          <w:rFonts w:hint="eastAsia" w:ascii="等线" w:hAnsi="等线" w:eastAsia="等线" w:cs="等线"/>
          <w:spacing w:val="1"/>
          <w:sz w:val="24"/>
          <w:szCs w:val="24"/>
        </w:rPr>
        <w:t xml:space="preserve">认证标准为 </w:t>
      </w:r>
      <w:r>
        <w:rPr>
          <w:rFonts w:hint="eastAsia" w:ascii="等线" w:hAnsi="等线" w:eastAsia="等线" w:cs="等线"/>
          <w:sz w:val="24"/>
          <w:szCs w:val="24"/>
        </w:rPr>
        <w:t>SB</w:t>
      </w:r>
      <w:r>
        <w:rPr>
          <w:rFonts w:hint="eastAsia" w:ascii="等线" w:hAnsi="等线" w:eastAsia="等线" w:cs="等线"/>
          <w:spacing w:val="1"/>
          <w:sz w:val="24"/>
          <w:szCs w:val="24"/>
        </w:rPr>
        <w:t xml:space="preserve">/T 10962-2013《商品经营企业服务质量评价 </w:t>
      </w:r>
      <w:r>
        <w:rPr>
          <w:rFonts w:hint="eastAsia" w:ascii="等线" w:hAnsi="等线" w:eastAsia="等线" w:cs="等线"/>
          <w:spacing w:val="-14"/>
          <w:sz w:val="24"/>
          <w:szCs w:val="24"/>
        </w:rPr>
        <w:t>体系》，</w:t>
      </w:r>
    </w:p>
    <w:p w14:paraId="078EBB43">
      <w:pPr>
        <w:spacing w:before="318" w:line="430" w:lineRule="auto"/>
        <w:ind w:left="436" w:hanging="1"/>
        <w:jc w:val="both"/>
        <w:rPr>
          <w:rFonts w:hint="eastAsia" w:ascii="等线" w:hAnsi="等线" w:eastAsia="等线" w:cs="等线"/>
          <w:sz w:val="24"/>
          <w:szCs w:val="24"/>
        </w:rPr>
      </w:pPr>
      <w:r>
        <w:rPr>
          <w:rFonts w:hint="eastAsia" w:ascii="等线" w:hAnsi="等线" w:eastAsia="等线" w:cs="等线"/>
          <w:spacing w:val="-14"/>
          <w:sz w:val="24"/>
          <w:szCs w:val="24"/>
        </w:rPr>
        <w:t>商品售后服务认证标准为 GB/T</w:t>
      </w:r>
      <w:r>
        <w:rPr>
          <w:rFonts w:hint="eastAsia" w:ascii="等线" w:hAnsi="等线" w:eastAsia="等线" w:cs="等线"/>
          <w:spacing w:val="-14"/>
          <w:sz w:val="24"/>
          <w:szCs w:val="24"/>
          <w:lang w:val="en-US" w:eastAsia="zh-CN"/>
        </w:rPr>
        <w:t xml:space="preserve"> </w:t>
      </w:r>
      <w:r>
        <w:rPr>
          <w:rFonts w:hint="eastAsia" w:ascii="等线" w:hAnsi="等线" w:eastAsia="等线" w:cs="等线"/>
          <w:spacing w:val="-57"/>
          <w:sz w:val="24"/>
          <w:szCs w:val="24"/>
        </w:rPr>
        <w:t xml:space="preserve"> </w:t>
      </w:r>
      <w:r>
        <w:rPr>
          <w:rFonts w:hint="eastAsia" w:ascii="等线" w:hAnsi="等线" w:eastAsia="等线" w:cs="等线"/>
          <w:spacing w:val="-14"/>
          <w:sz w:val="24"/>
          <w:szCs w:val="24"/>
        </w:rPr>
        <w:t>27922-2011《商品售后服务评</w:t>
      </w:r>
      <w:r>
        <w:rPr>
          <w:rFonts w:hint="eastAsia" w:ascii="等线" w:hAnsi="等线" w:eastAsia="等线" w:cs="等线"/>
          <w:spacing w:val="-15"/>
          <w:sz w:val="24"/>
          <w:szCs w:val="24"/>
        </w:rPr>
        <w:t>价体系》。</w:t>
      </w:r>
    </w:p>
    <w:p w14:paraId="6CEE5880">
      <w:pPr>
        <w:spacing w:before="1" w:line="220" w:lineRule="auto"/>
        <w:ind w:left="435"/>
        <w:rPr>
          <w:rFonts w:hint="eastAsia" w:ascii="等线" w:hAnsi="等线" w:eastAsia="等线" w:cs="等线"/>
          <w:sz w:val="24"/>
          <w:szCs w:val="24"/>
        </w:rPr>
      </w:pPr>
      <w:r>
        <w:rPr>
          <w:rFonts w:hint="eastAsia" w:ascii="等线" w:hAnsi="等线" w:eastAsia="等线" w:cs="等线"/>
          <w:spacing w:val="-1"/>
          <w:sz w:val="24"/>
          <w:szCs w:val="24"/>
        </w:rPr>
        <w:t>4.2 认证级别</w:t>
      </w:r>
    </w:p>
    <w:p w14:paraId="18C44EC6">
      <w:pPr>
        <w:spacing w:before="317" w:line="430" w:lineRule="auto"/>
        <w:ind w:left="440" w:right="107" w:hanging="5"/>
        <w:jc w:val="both"/>
        <w:rPr>
          <w:rFonts w:hint="eastAsia" w:ascii="等线" w:hAnsi="等线" w:eastAsia="等线" w:cs="等线"/>
          <w:sz w:val="24"/>
          <w:szCs w:val="24"/>
        </w:rPr>
      </w:pPr>
      <w:r>
        <w:rPr>
          <w:rFonts w:hint="eastAsia" w:ascii="等线" w:hAnsi="等线" w:eastAsia="等线" w:cs="等线"/>
          <w:spacing w:val="2"/>
          <w:sz w:val="24"/>
          <w:szCs w:val="24"/>
        </w:rPr>
        <w:t>批发零售：将商品经营企业服务质量评价体系成熟度等级设为三级，即三星级、四星级和五星级。级别越高标识其商品经营企业服务质量评价体系</w:t>
      </w:r>
      <w:r>
        <w:rPr>
          <w:rFonts w:hint="eastAsia" w:ascii="等线" w:hAnsi="等线" w:eastAsia="等线" w:cs="等线"/>
          <w:spacing w:val="1"/>
          <w:sz w:val="24"/>
          <w:szCs w:val="24"/>
        </w:rPr>
        <w:t>成熟</w:t>
      </w:r>
      <w:r>
        <w:rPr>
          <w:rFonts w:hint="eastAsia" w:ascii="等线" w:hAnsi="等线" w:eastAsia="等线" w:cs="等线"/>
          <w:spacing w:val="-9"/>
          <w:sz w:val="24"/>
          <w:szCs w:val="24"/>
        </w:rPr>
        <w:t>度越高。</w:t>
      </w:r>
    </w:p>
    <w:p w14:paraId="178DACE2">
      <w:pPr>
        <w:spacing w:before="319" w:line="430" w:lineRule="auto"/>
        <w:ind w:left="436" w:right="108"/>
        <w:jc w:val="both"/>
        <w:rPr>
          <w:rFonts w:hint="eastAsia" w:ascii="等线" w:hAnsi="等线" w:eastAsia="等线" w:cs="等线"/>
          <w:sz w:val="24"/>
          <w:szCs w:val="24"/>
        </w:rPr>
      </w:pPr>
      <w:r>
        <w:rPr>
          <w:rFonts w:hint="eastAsia" w:ascii="等线" w:hAnsi="等线" w:eastAsia="等线" w:cs="等线"/>
          <w:spacing w:val="2"/>
          <w:sz w:val="24"/>
          <w:szCs w:val="24"/>
        </w:rPr>
        <w:t>售后服务：将企业售后服务水平优质程度等级设为达标级售后服务、三星级 售后服务、四星级售后服务和五星级售后服务。级别越高标识其售后服务水</w:t>
      </w:r>
      <w:r>
        <w:rPr>
          <w:rFonts w:hint="eastAsia" w:ascii="等线" w:hAnsi="等线" w:eastAsia="等线" w:cs="等线"/>
          <w:spacing w:val="-1"/>
          <w:sz w:val="24"/>
          <w:szCs w:val="24"/>
        </w:rPr>
        <w:t>平优质程度越高。</w:t>
      </w:r>
    </w:p>
    <w:p w14:paraId="2EDAC970">
      <w:pPr>
        <w:spacing w:before="319" w:line="221" w:lineRule="auto"/>
        <w:ind w:left="435"/>
        <w:rPr>
          <w:rFonts w:hint="eastAsia" w:ascii="等线" w:hAnsi="等线" w:eastAsia="等线" w:cs="等线"/>
          <w:sz w:val="24"/>
          <w:szCs w:val="24"/>
        </w:rPr>
      </w:pPr>
      <w:r>
        <w:rPr>
          <w:rFonts w:hint="eastAsia" w:ascii="等线" w:hAnsi="等线" w:eastAsia="等线" w:cs="等线"/>
          <w:spacing w:val="-4"/>
          <w:sz w:val="24"/>
          <w:szCs w:val="24"/>
        </w:rPr>
        <w:t>4.3</w:t>
      </w:r>
      <w:r>
        <w:rPr>
          <w:rFonts w:hint="eastAsia" w:ascii="等线" w:hAnsi="等线" w:eastAsia="等线" w:cs="等线"/>
          <w:spacing w:val="-50"/>
          <w:sz w:val="24"/>
          <w:szCs w:val="24"/>
        </w:rPr>
        <w:t xml:space="preserve"> </w:t>
      </w:r>
      <w:r>
        <w:rPr>
          <w:rFonts w:hint="eastAsia" w:ascii="等线" w:hAnsi="等线" w:eastAsia="等线" w:cs="等线"/>
          <w:spacing w:val="-4"/>
          <w:sz w:val="24"/>
          <w:szCs w:val="24"/>
        </w:rPr>
        <w:t>审查方案</w:t>
      </w:r>
    </w:p>
    <w:p w14:paraId="38BF381C">
      <w:pPr>
        <w:spacing w:before="316" w:line="430" w:lineRule="auto"/>
        <w:ind w:left="436" w:right="108" w:firstLine="8"/>
        <w:jc w:val="both"/>
        <w:rPr>
          <w:rFonts w:hint="eastAsia" w:ascii="等线" w:hAnsi="等线" w:eastAsia="等线" w:cs="等线"/>
          <w:spacing w:val="-1"/>
          <w:sz w:val="24"/>
          <w:szCs w:val="24"/>
        </w:rPr>
      </w:pPr>
      <w:r>
        <w:rPr>
          <w:rFonts w:hint="eastAsia" w:ascii="等线" w:hAnsi="等线" w:eastAsia="等线" w:cs="等线"/>
          <w:spacing w:val="2"/>
          <w:sz w:val="24"/>
          <w:szCs w:val="24"/>
        </w:rPr>
        <w:t>审查方案包括初始服务特性测评审查、第一年和第二年的监</w:t>
      </w:r>
      <w:r>
        <w:rPr>
          <w:rFonts w:hint="eastAsia" w:ascii="等线" w:hAnsi="等线" w:eastAsia="等线" w:cs="等线"/>
          <w:spacing w:val="1"/>
          <w:sz w:val="24"/>
          <w:szCs w:val="24"/>
        </w:rPr>
        <w:t>督审查及第三年</w:t>
      </w:r>
      <w:r>
        <w:rPr>
          <w:rFonts w:hint="eastAsia" w:ascii="等线" w:hAnsi="等线" w:eastAsia="等线" w:cs="等线"/>
          <w:sz w:val="24"/>
          <w:szCs w:val="24"/>
        </w:rPr>
        <w:t xml:space="preserve"> </w:t>
      </w:r>
      <w:r>
        <w:rPr>
          <w:rFonts w:hint="eastAsia" w:ascii="等线" w:hAnsi="等线" w:eastAsia="等线" w:cs="等线"/>
          <w:spacing w:val="2"/>
          <w:sz w:val="24"/>
          <w:szCs w:val="24"/>
        </w:rPr>
        <w:t>认证到期前进行的再认证审查。第一个三年的认证周期从初次认证决定日算</w:t>
      </w:r>
      <w:r>
        <w:rPr>
          <w:rFonts w:hint="eastAsia" w:ascii="等线" w:hAnsi="等线" w:eastAsia="等线" w:cs="等线"/>
          <w:spacing w:val="-1"/>
          <w:sz w:val="24"/>
          <w:szCs w:val="24"/>
        </w:rPr>
        <w:t>起。以后的周期从再认证决定日算起。</w:t>
      </w:r>
    </w:p>
    <w:p w14:paraId="1920CCD5">
      <w:pPr>
        <w:spacing w:before="319" w:line="221" w:lineRule="auto"/>
        <w:ind w:left="435"/>
        <w:rPr>
          <w:rFonts w:hint="eastAsia" w:ascii="等线" w:hAnsi="等线" w:eastAsia="等线" w:cs="等线"/>
          <w:sz w:val="24"/>
          <w:szCs w:val="24"/>
        </w:rPr>
      </w:pPr>
      <w:r>
        <w:rPr>
          <w:rFonts w:hint="eastAsia" w:ascii="等线" w:hAnsi="等线" w:eastAsia="等线" w:cs="等线"/>
          <w:spacing w:val="-4"/>
          <w:sz w:val="24"/>
          <w:szCs w:val="24"/>
        </w:rPr>
        <w:t>4.</w:t>
      </w:r>
      <w:r>
        <w:rPr>
          <w:rFonts w:hint="eastAsia" w:ascii="等线" w:hAnsi="等线" w:eastAsia="等线" w:cs="等线"/>
          <w:spacing w:val="-4"/>
          <w:sz w:val="24"/>
          <w:szCs w:val="24"/>
          <w:lang w:val="en-US" w:eastAsia="zh-CN"/>
        </w:rPr>
        <w:t>4</w:t>
      </w:r>
      <w:r>
        <w:rPr>
          <w:rFonts w:hint="eastAsia" w:ascii="等线" w:hAnsi="等线" w:eastAsia="等线" w:cs="等线"/>
          <w:spacing w:val="-50"/>
          <w:sz w:val="24"/>
          <w:szCs w:val="24"/>
        </w:rPr>
        <w:t xml:space="preserve"> </w:t>
      </w:r>
      <w:r>
        <w:rPr>
          <w:rFonts w:hint="eastAsia" w:ascii="等线" w:hAnsi="等线" w:eastAsia="等线" w:cs="等线"/>
          <w:spacing w:val="-4"/>
          <w:sz w:val="24"/>
          <w:szCs w:val="24"/>
        </w:rPr>
        <w:t>审查方案</w:t>
      </w:r>
    </w:p>
    <w:p w14:paraId="51160F89">
      <w:pPr>
        <w:pStyle w:val="2"/>
        <w:ind w:left="479" w:leftChars="228" w:firstLine="0" w:firstLineChars="0"/>
        <w:rPr>
          <w:rFonts w:hint="eastAsia" w:ascii="等线" w:hAnsi="等线" w:eastAsia="等线" w:cs="等线"/>
          <w:spacing w:val="-5"/>
          <w:sz w:val="24"/>
          <w:szCs w:val="24"/>
          <w:highlight w:val="yellow"/>
        </w:rPr>
      </w:pPr>
      <w:r>
        <w:rPr>
          <w:rFonts w:hint="eastAsia" w:ascii="等线" w:hAnsi="等线" w:eastAsia="等线" w:cs="等线"/>
          <w:spacing w:val="-5"/>
          <w:sz w:val="24"/>
          <w:szCs w:val="24"/>
          <w:highlight w:val="yellow"/>
        </w:rPr>
        <w:t>为确保认证审查的完整有效，</w:t>
      </w:r>
      <w:r>
        <w:rPr>
          <w:rFonts w:hint="eastAsia" w:ascii="等线" w:hAnsi="等线" w:eastAsia="等线" w:cs="等线"/>
          <w:spacing w:val="-5"/>
          <w:sz w:val="24"/>
          <w:szCs w:val="24"/>
          <w:highlight w:val="yellow"/>
          <w:lang w:eastAsia="zh-CN"/>
        </w:rPr>
        <w:t>华鼎</w:t>
      </w:r>
      <w:r>
        <w:rPr>
          <w:rFonts w:hint="eastAsia" w:ascii="等线" w:hAnsi="等线" w:eastAsia="等线" w:cs="等线"/>
          <w:spacing w:val="-5"/>
          <w:sz w:val="24"/>
          <w:szCs w:val="24"/>
          <w:highlight w:val="yellow"/>
        </w:rPr>
        <w:t>根据</w:t>
      </w:r>
      <w:r>
        <w:rPr>
          <w:rFonts w:hint="eastAsia" w:ascii="等线" w:hAnsi="等线" w:eastAsia="等线" w:cs="等线"/>
          <w:spacing w:val="-5"/>
          <w:sz w:val="24"/>
          <w:szCs w:val="24"/>
          <w:highlight w:val="yellow"/>
          <w:lang w:eastAsia="zh-CN"/>
        </w:rPr>
        <w:t>《</w:t>
      </w:r>
      <w:r>
        <w:rPr>
          <w:rFonts w:hint="eastAsia" w:ascii="等线" w:hAnsi="等线" w:eastAsia="等线" w:cs="等线"/>
          <w:spacing w:val="-5"/>
          <w:sz w:val="24"/>
          <w:szCs w:val="24"/>
          <w:highlight w:val="yellow"/>
          <w:lang w:val="en-US" w:eastAsia="zh-CN"/>
        </w:rPr>
        <w:t>CNAS-GC25服务认证机构业务范围及能力管理管理实施指南》规则对技术领域进行划分，技术领域：批发与零售业；代码：02.01;因为具有类似的业态和功能，划为了一个技术领域。共含38个小类02.01.6122--02.01.6250</w:t>
      </w:r>
      <w:r>
        <w:rPr>
          <w:rFonts w:hint="eastAsia" w:ascii="等线" w:hAnsi="等线" w:eastAsia="等线" w:cs="等线"/>
          <w:spacing w:val="-5"/>
          <w:sz w:val="24"/>
          <w:szCs w:val="24"/>
          <w:highlight w:val="yellow"/>
        </w:rPr>
        <w:t>。</w:t>
      </w:r>
    </w:p>
    <w:p w14:paraId="1C44DDF6">
      <w:pPr>
        <w:pStyle w:val="2"/>
        <w:ind w:left="479" w:leftChars="228" w:firstLine="0" w:firstLineChars="0"/>
        <w:rPr>
          <w:rFonts w:hint="eastAsia" w:ascii="等线" w:hAnsi="等线" w:eastAsia="等线" w:cs="等线"/>
          <w:spacing w:val="-5"/>
          <w:sz w:val="24"/>
          <w:szCs w:val="24"/>
          <w:highlight w:val="yellow"/>
        </w:rPr>
      </w:pPr>
    </w:p>
    <w:p w14:paraId="55B007F8">
      <w:pPr>
        <w:spacing w:before="319" w:line="221" w:lineRule="auto"/>
        <w:ind w:left="435"/>
        <w:rPr>
          <w:rFonts w:hint="default" w:ascii="等线" w:hAnsi="等线" w:eastAsia="等线" w:cs="等线"/>
          <w:sz w:val="24"/>
          <w:szCs w:val="24"/>
          <w:lang w:val="en-US" w:eastAsia="zh-CN"/>
        </w:rPr>
      </w:pPr>
      <w:r>
        <w:rPr>
          <w:rFonts w:hint="eastAsia" w:ascii="等线" w:hAnsi="等线" w:eastAsia="等线" w:cs="等线"/>
          <w:spacing w:val="-4"/>
          <w:sz w:val="24"/>
          <w:szCs w:val="24"/>
        </w:rPr>
        <w:t>4.</w:t>
      </w:r>
      <w:r>
        <w:rPr>
          <w:rFonts w:hint="eastAsia" w:ascii="等线" w:hAnsi="等线" w:eastAsia="等线" w:cs="等线"/>
          <w:spacing w:val="-4"/>
          <w:sz w:val="24"/>
          <w:szCs w:val="24"/>
          <w:lang w:val="en-US" w:eastAsia="zh-CN"/>
        </w:rPr>
        <w:t>5</w:t>
      </w:r>
      <w:r>
        <w:rPr>
          <w:rFonts w:hint="eastAsia" w:ascii="等线" w:hAnsi="等线" w:eastAsia="等线" w:cs="等线"/>
          <w:spacing w:val="-50"/>
          <w:sz w:val="24"/>
          <w:szCs w:val="24"/>
        </w:rPr>
        <w:t xml:space="preserve"> </w:t>
      </w:r>
      <w:r>
        <w:rPr>
          <w:rFonts w:hint="eastAsia" w:ascii="等线" w:hAnsi="等线" w:eastAsia="等线" w:cs="等线"/>
          <w:spacing w:val="-4"/>
          <w:sz w:val="24"/>
          <w:szCs w:val="24"/>
          <w:lang w:val="en-US" w:eastAsia="zh-CN"/>
        </w:rPr>
        <w:t>人员能力要求</w:t>
      </w:r>
    </w:p>
    <w:p w14:paraId="4E57DEE5">
      <w:pPr>
        <w:pStyle w:val="2"/>
        <w:ind w:left="479" w:leftChars="228" w:firstLine="0" w:firstLineChars="0"/>
        <w:rPr>
          <w:rFonts w:hint="eastAsia" w:ascii="等线" w:hAnsi="等线" w:eastAsia="等线" w:cs="等线"/>
          <w:spacing w:val="-5"/>
          <w:sz w:val="24"/>
          <w:szCs w:val="24"/>
          <w:highlight w:val="yellow"/>
        </w:rPr>
      </w:pPr>
      <w:r>
        <w:rPr>
          <w:rFonts w:hint="eastAsia" w:ascii="等线" w:hAnsi="等线" w:eastAsia="等线" w:cs="等线"/>
          <w:spacing w:val="-5"/>
          <w:sz w:val="24"/>
          <w:szCs w:val="24"/>
          <w:highlight w:val="yellow"/>
        </w:rPr>
        <w:t>为确保认证审查的完整有效，</w:t>
      </w:r>
      <w:r>
        <w:rPr>
          <w:rFonts w:hint="eastAsia" w:ascii="等线" w:hAnsi="等线" w:eastAsia="等线" w:cs="等线"/>
          <w:spacing w:val="-5"/>
          <w:sz w:val="24"/>
          <w:szCs w:val="24"/>
          <w:highlight w:val="yellow"/>
          <w:lang w:eastAsia="zh-CN"/>
        </w:rPr>
        <w:t>华鼎</w:t>
      </w:r>
      <w:r>
        <w:rPr>
          <w:rFonts w:hint="eastAsia" w:ascii="等线" w:hAnsi="等线" w:eastAsia="等线" w:cs="等线"/>
          <w:spacing w:val="-5"/>
          <w:sz w:val="24"/>
          <w:szCs w:val="24"/>
          <w:highlight w:val="yellow"/>
        </w:rPr>
        <w:t>根据</w:t>
      </w:r>
      <w:r>
        <w:rPr>
          <w:rFonts w:hint="eastAsia" w:ascii="等线" w:hAnsi="等线" w:eastAsia="等线" w:cs="等线"/>
          <w:spacing w:val="-5"/>
          <w:sz w:val="24"/>
          <w:szCs w:val="24"/>
          <w:highlight w:val="yellow"/>
          <w:lang w:eastAsia="zh-CN"/>
        </w:rPr>
        <w:t>《</w:t>
      </w:r>
      <w:r>
        <w:rPr>
          <w:rFonts w:hint="eastAsia" w:ascii="等线" w:hAnsi="等线" w:eastAsia="等线" w:cs="等线"/>
          <w:spacing w:val="-5"/>
          <w:sz w:val="24"/>
          <w:szCs w:val="24"/>
          <w:highlight w:val="yellow"/>
          <w:lang w:val="en-US" w:eastAsia="zh-CN"/>
        </w:rPr>
        <w:t>CNAS-GC25服务认证机构业务范围及能力管理管理实施指南》规则确定合同评审人员能力要求、方案策划人员、人员能力评价人员、规则制定人员、审查员、认证决定人员能力六大类人员能力准则，并依据准则考核合格后上岗</w:t>
      </w:r>
      <w:r>
        <w:rPr>
          <w:rFonts w:hint="eastAsia" w:ascii="等线" w:hAnsi="等线" w:eastAsia="等线" w:cs="等线"/>
          <w:spacing w:val="-5"/>
          <w:sz w:val="24"/>
          <w:szCs w:val="24"/>
          <w:highlight w:val="yellow"/>
        </w:rPr>
        <w:t>。</w:t>
      </w:r>
    </w:p>
    <w:p w14:paraId="2C5BF047">
      <w:pPr>
        <w:pStyle w:val="2"/>
        <w:ind w:left="479" w:leftChars="228" w:firstLine="0" w:firstLineChars="0"/>
        <w:rPr>
          <w:rFonts w:hint="eastAsia" w:ascii="等线" w:hAnsi="等线" w:eastAsia="等线" w:cs="等线"/>
          <w:spacing w:val="-5"/>
          <w:sz w:val="24"/>
          <w:szCs w:val="24"/>
          <w:highlight w:val="yellow"/>
        </w:rPr>
      </w:pPr>
    </w:p>
    <w:p w14:paraId="0658A6BF">
      <w:pPr>
        <w:spacing w:before="295" w:line="226" w:lineRule="auto"/>
        <w:ind w:left="123"/>
        <w:rPr>
          <w:rFonts w:hint="eastAsia" w:ascii="等线" w:hAnsi="等线" w:eastAsia="等线" w:cs="等线"/>
          <w:sz w:val="24"/>
          <w:szCs w:val="24"/>
        </w:rPr>
      </w:pPr>
      <w:r>
        <w:rPr>
          <w:rFonts w:hint="eastAsia" w:ascii="等线" w:hAnsi="等线" w:eastAsia="等线" w:cs="等线"/>
          <w:b/>
          <w:bCs/>
          <w:spacing w:val="8"/>
          <w:sz w:val="24"/>
          <w:szCs w:val="24"/>
        </w:rPr>
        <w:t xml:space="preserve">5  </w:t>
      </w:r>
      <w:r>
        <w:rPr>
          <w:rFonts w:hint="eastAsia" w:ascii="等线" w:hAnsi="等线" w:eastAsia="等线" w:cs="等线"/>
          <w:spacing w:val="8"/>
          <w:sz w:val="24"/>
          <w:szCs w:val="24"/>
          <w14:textOutline w14:w="5791" w14:cap="flat" w14:cmpd="sng">
            <w14:solidFill>
              <w14:srgbClr w14:val="000000"/>
            </w14:solidFill>
            <w14:prstDash w14:val="solid"/>
            <w14:miter w14:val="0"/>
          </w14:textOutline>
        </w:rPr>
        <w:t>认证实施程序及要求</w:t>
      </w:r>
    </w:p>
    <w:p w14:paraId="59E1BAFE">
      <w:pPr>
        <w:spacing w:before="295" w:line="220" w:lineRule="auto"/>
        <w:ind w:left="583"/>
        <w:rPr>
          <w:rFonts w:hint="eastAsia" w:ascii="等线" w:hAnsi="等线" w:eastAsia="等线" w:cs="等线"/>
          <w:sz w:val="24"/>
          <w:szCs w:val="24"/>
        </w:rPr>
      </w:pPr>
      <w:r>
        <w:rPr>
          <w:rFonts w:hint="eastAsia" w:ascii="等线" w:hAnsi="等线" w:eastAsia="等线" w:cs="等线"/>
          <w:spacing w:val="-2"/>
          <w:sz w:val="24"/>
          <w:szCs w:val="24"/>
        </w:rPr>
        <w:t>5.1 认证申请</w:t>
      </w:r>
    </w:p>
    <w:p w14:paraId="3434C814">
      <w:pPr>
        <w:spacing w:before="187" w:line="430" w:lineRule="auto"/>
        <w:ind w:left="436" w:right="4" w:hanging="1"/>
        <w:jc w:val="both"/>
        <w:rPr>
          <w:rFonts w:hint="eastAsia" w:ascii="等线" w:hAnsi="等线" w:eastAsia="等线" w:cs="等线"/>
          <w:sz w:val="24"/>
          <w:szCs w:val="24"/>
        </w:rPr>
      </w:pPr>
      <w:bookmarkStart w:id="4" w:name="bookmark5"/>
      <w:bookmarkEnd w:id="4"/>
      <w:r>
        <w:rPr>
          <w:rFonts w:hint="eastAsia" w:ascii="等线" w:hAnsi="等线" w:eastAsia="等线" w:cs="等线"/>
          <w:spacing w:val="2"/>
          <w:sz w:val="24"/>
          <w:szCs w:val="24"/>
        </w:rPr>
        <w:t>在中华人民共和国境内注册的具有</w:t>
      </w:r>
      <w:r>
        <w:rPr>
          <w:rFonts w:hint="eastAsia" w:ascii="等线" w:hAnsi="等线" w:eastAsia="等线" w:cs="等线"/>
          <w:spacing w:val="7"/>
          <w:sz w:val="24"/>
          <w:szCs w:val="24"/>
          <w:lang w:eastAsia="zh-CN"/>
        </w:rPr>
        <w:t>商品经营企业</w:t>
      </w:r>
      <w:r>
        <w:rPr>
          <w:rFonts w:hint="eastAsia" w:ascii="等线" w:hAnsi="等线" w:eastAsia="等线" w:cs="等线"/>
          <w:spacing w:val="7"/>
          <w:sz w:val="24"/>
          <w:szCs w:val="24"/>
          <w:lang w:val="en-US" w:eastAsia="zh-CN"/>
        </w:rPr>
        <w:t>和商品售后服务</w:t>
      </w:r>
      <w:r>
        <w:rPr>
          <w:rFonts w:hint="eastAsia" w:ascii="等线" w:hAnsi="等线" w:eastAsia="等线" w:cs="等线"/>
          <w:spacing w:val="2"/>
          <w:sz w:val="24"/>
          <w:szCs w:val="24"/>
        </w:rPr>
        <w:t>活动的企业均可向</w:t>
      </w:r>
      <w:r>
        <w:rPr>
          <w:rFonts w:hint="eastAsia" w:ascii="等线" w:hAnsi="等线" w:eastAsia="等线" w:cs="等线"/>
          <w:spacing w:val="2"/>
          <w:sz w:val="24"/>
          <w:szCs w:val="24"/>
          <w:lang w:eastAsia="zh-CN"/>
        </w:rPr>
        <w:t>华鼎</w:t>
      </w:r>
      <w:r>
        <w:rPr>
          <w:rFonts w:hint="eastAsia" w:ascii="等线" w:hAnsi="等线" w:eastAsia="等线" w:cs="等线"/>
          <w:spacing w:val="2"/>
          <w:sz w:val="24"/>
          <w:szCs w:val="24"/>
        </w:rPr>
        <w:t>提交服务</w:t>
      </w:r>
      <w:r>
        <w:rPr>
          <w:rFonts w:hint="eastAsia" w:ascii="等线" w:hAnsi="等线" w:eastAsia="等线" w:cs="等线"/>
          <w:spacing w:val="8"/>
          <w:sz w:val="24"/>
          <w:szCs w:val="24"/>
        </w:rPr>
        <w:t xml:space="preserve"> </w:t>
      </w:r>
      <w:r>
        <w:rPr>
          <w:rFonts w:hint="eastAsia" w:ascii="等线" w:hAnsi="等线" w:eastAsia="等线" w:cs="等线"/>
          <w:spacing w:val="-6"/>
          <w:sz w:val="24"/>
          <w:szCs w:val="24"/>
        </w:rPr>
        <w:t>认证申请。由认证申请方填写《服务认证申请书》，并按其附件要求提</w:t>
      </w:r>
      <w:r>
        <w:rPr>
          <w:rFonts w:hint="eastAsia" w:ascii="等线" w:hAnsi="等线" w:eastAsia="等线" w:cs="等线"/>
          <w:spacing w:val="-7"/>
          <w:sz w:val="24"/>
          <w:szCs w:val="24"/>
        </w:rPr>
        <w:t>供申请</w:t>
      </w:r>
      <w:r>
        <w:rPr>
          <w:rFonts w:hint="eastAsia" w:ascii="等线" w:hAnsi="等线" w:eastAsia="等线" w:cs="等线"/>
          <w:spacing w:val="-5"/>
          <w:sz w:val="24"/>
          <w:szCs w:val="24"/>
        </w:rPr>
        <w:t>认证所需资料。</w:t>
      </w:r>
    </w:p>
    <w:p w14:paraId="2D51A618">
      <w:pPr>
        <w:spacing w:before="315" w:line="221" w:lineRule="auto"/>
        <w:ind w:left="448"/>
        <w:rPr>
          <w:rFonts w:hint="eastAsia" w:ascii="等线" w:hAnsi="等线" w:eastAsia="等线" w:cs="等线"/>
          <w:sz w:val="24"/>
          <w:szCs w:val="24"/>
        </w:rPr>
      </w:pPr>
      <w:r>
        <w:rPr>
          <w:rFonts w:hint="eastAsia" w:ascii="等线" w:hAnsi="等线" w:eastAsia="等线" w:cs="等线"/>
          <w:spacing w:val="-6"/>
          <w:sz w:val="24"/>
          <w:szCs w:val="24"/>
        </w:rPr>
        <w:t>资料包括，但不限于：</w:t>
      </w:r>
    </w:p>
    <w:p w14:paraId="59A28418">
      <w:pPr>
        <w:spacing w:before="318" w:line="219" w:lineRule="auto"/>
        <w:ind w:left="437"/>
        <w:rPr>
          <w:rFonts w:hint="eastAsia" w:ascii="等线" w:hAnsi="等线" w:eastAsia="等线" w:cs="等线"/>
          <w:sz w:val="24"/>
          <w:szCs w:val="24"/>
        </w:rPr>
      </w:pPr>
      <w:r>
        <w:rPr>
          <w:rFonts w:hint="eastAsia" w:ascii="等线" w:hAnsi="等线" w:eastAsia="等线" w:cs="等线"/>
          <w:spacing w:val="-5"/>
          <w:sz w:val="24"/>
          <w:szCs w:val="24"/>
        </w:rPr>
        <w:t>a) 组织简介（包括组织销售方式的介绍</w:t>
      </w:r>
      <w:r>
        <w:rPr>
          <w:rFonts w:hint="eastAsia" w:ascii="等线" w:hAnsi="等线" w:eastAsia="等线" w:cs="等线"/>
          <w:spacing w:val="-39"/>
          <w:sz w:val="24"/>
          <w:szCs w:val="24"/>
        </w:rPr>
        <w:t>）；</w:t>
      </w:r>
    </w:p>
    <w:p w14:paraId="54CDB1B7">
      <w:pPr>
        <w:spacing w:before="320" w:line="219" w:lineRule="auto"/>
        <w:ind w:left="431"/>
        <w:rPr>
          <w:rFonts w:hint="eastAsia" w:ascii="等线" w:hAnsi="等线" w:eastAsia="等线" w:cs="等线"/>
          <w:sz w:val="24"/>
          <w:szCs w:val="24"/>
        </w:rPr>
      </w:pPr>
      <w:r>
        <w:rPr>
          <w:rFonts w:hint="eastAsia" w:ascii="等线" w:hAnsi="等线" w:eastAsia="等线" w:cs="等线"/>
          <w:spacing w:val="-1"/>
          <w:sz w:val="24"/>
          <w:szCs w:val="24"/>
        </w:rPr>
        <w:t>b) 组织机构图（包括服务管理有关部门组织机构图</w:t>
      </w:r>
      <w:r>
        <w:rPr>
          <w:rFonts w:hint="eastAsia" w:ascii="等线" w:hAnsi="等线" w:eastAsia="等线" w:cs="等线"/>
          <w:spacing w:val="-72"/>
          <w:sz w:val="24"/>
          <w:szCs w:val="24"/>
        </w:rPr>
        <w:t>）；</w:t>
      </w:r>
    </w:p>
    <w:p w14:paraId="1ADE5ECE">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4"/>
          <w:sz w:val="24"/>
          <w:szCs w:val="24"/>
        </w:rPr>
        <w:t>c) 年检</w:t>
      </w:r>
      <w:r>
        <w:rPr>
          <w:rFonts w:hint="eastAsia" w:ascii="等线" w:hAnsi="等线" w:eastAsia="等线" w:cs="等线"/>
          <w:spacing w:val="-5"/>
          <w:sz w:val="24"/>
          <w:szCs w:val="24"/>
        </w:rPr>
        <w:t>有效的企业营业执照复印件（含统一社会信用代码）；</w:t>
      </w:r>
    </w:p>
    <w:p w14:paraId="66993800">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d) 有效期内的涉及国家法规强制要求的许可文件， 如： 服务/卫生/经营许可证等；</w:t>
      </w:r>
    </w:p>
    <w:p w14:paraId="01DA4D00">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e) 已获</w:t>
      </w:r>
      <w:r>
        <w:rPr>
          <w:rFonts w:hint="eastAsia" w:ascii="等线" w:hAnsi="等线" w:eastAsia="等线" w:cs="等线"/>
          <w:spacing w:val="-5"/>
          <w:sz w:val="24"/>
          <w:szCs w:val="24"/>
          <w:lang w:eastAsia="zh-CN"/>
        </w:rPr>
        <w:t>商品售后服务质量</w:t>
      </w:r>
      <w:r>
        <w:rPr>
          <w:rFonts w:hint="eastAsia" w:ascii="等线" w:hAnsi="等线" w:eastAsia="等线" w:cs="等线"/>
          <w:spacing w:val="-5"/>
          <w:sz w:val="24"/>
          <w:szCs w:val="24"/>
        </w:rPr>
        <w:t>及其他</w:t>
      </w:r>
      <w:r>
        <w:rPr>
          <w:rFonts w:hint="eastAsia" w:ascii="等线" w:hAnsi="等线" w:eastAsia="等线" w:cs="等线"/>
          <w:spacing w:val="-5"/>
          <w:sz w:val="24"/>
          <w:szCs w:val="24"/>
          <w:lang w:eastAsia="zh-CN"/>
        </w:rPr>
        <w:t>服务体系</w:t>
      </w:r>
      <w:r>
        <w:rPr>
          <w:rFonts w:hint="eastAsia" w:ascii="等线" w:hAnsi="等线" w:eastAsia="等线" w:cs="等线"/>
          <w:spacing w:val="-5"/>
          <w:sz w:val="24"/>
          <w:szCs w:val="24"/>
        </w:rPr>
        <w:t>认证证书复印件；</w:t>
      </w:r>
    </w:p>
    <w:p w14:paraId="54F89DE1">
      <w:pPr>
        <w:spacing w:before="320" w:line="653" w:lineRule="exact"/>
        <w:ind w:firstLine="464" w:firstLineChars="200"/>
        <w:jc w:val="both"/>
        <w:rPr>
          <w:rFonts w:hint="eastAsia" w:ascii="等线" w:hAnsi="等线" w:eastAsia="等线" w:cs="等线"/>
          <w:sz w:val="24"/>
          <w:szCs w:val="24"/>
        </w:rPr>
      </w:pPr>
      <w:r>
        <w:rPr>
          <w:rFonts w:hint="eastAsia" w:ascii="等线" w:hAnsi="等线" w:eastAsia="等线" w:cs="等线"/>
          <w:spacing w:val="-4"/>
          <w:position w:val="28"/>
          <w:sz w:val="24"/>
          <w:szCs w:val="24"/>
        </w:rPr>
        <w:t>f)</w:t>
      </w:r>
      <w:r>
        <w:rPr>
          <w:rFonts w:hint="eastAsia" w:ascii="等线" w:hAnsi="等线" w:eastAsia="等线" w:cs="等线"/>
          <w:spacing w:val="52"/>
          <w:position w:val="28"/>
          <w:sz w:val="24"/>
          <w:szCs w:val="24"/>
        </w:rPr>
        <w:t xml:space="preserve"> </w:t>
      </w:r>
      <w:r>
        <w:rPr>
          <w:rFonts w:hint="eastAsia" w:ascii="等线" w:hAnsi="等线" w:eastAsia="等线" w:cs="等线"/>
          <w:spacing w:val="-4"/>
          <w:position w:val="28"/>
          <w:sz w:val="24"/>
          <w:szCs w:val="24"/>
        </w:rPr>
        <w:t>申报服务活动的详细说明，主要的服务流程以及涉及到的服务技术规范；</w:t>
      </w:r>
    </w:p>
    <w:p w14:paraId="3E924085">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g) 与服务过程有关的法律、法规（国际、国家、地方、行业） 清单及服务规范执行的标准清单（可现场提供）；</w:t>
      </w:r>
    </w:p>
    <w:p w14:paraId="1DEA10A2">
      <w:pPr>
        <w:spacing w:before="318" w:line="219" w:lineRule="auto"/>
        <w:ind w:left="437"/>
        <w:rPr>
          <w:rFonts w:hint="eastAsia" w:ascii="等线" w:hAnsi="等线" w:eastAsia="等线" w:cs="等线"/>
          <w:sz w:val="24"/>
          <w:szCs w:val="24"/>
        </w:rPr>
      </w:pPr>
      <w:r>
        <w:rPr>
          <w:rFonts w:hint="eastAsia" w:ascii="等线" w:hAnsi="等线" w:eastAsia="等线" w:cs="等线"/>
          <w:spacing w:val="-5"/>
          <w:sz w:val="24"/>
          <w:szCs w:val="24"/>
        </w:rPr>
        <w:t xml:space="preserve">h) </w:t>
      </w:r>
      <w:r>
        <w:rPr>
          <w:rFonts w:hint="eastAsia" w:ascii="等线" w:hAnsi="等线" w:eastAsia="等线" w:cs="等线"/>
          <w:spacing w:val="-5"/>
          <w:sz w:val="24"/>
          <w:szCs w:val="24"/>
          <w:lang w:val="en-US" w:eastAsia="zh-CN"/>
        </w:rPr>
        <w:t>商品经营企业</w:t>
      </w:r>
      <w:r>
        <w:rPr>
          <w:rFonts w:hint="eastAsia" w:ascii="等线" w:hAnsi="等线" w:eastAsia="等线" w:cs="等线"/>
          <w:spacing w:val="-5"/>
          <w:sz w:val="24"/>
          <w:szCs w:val="24"/>
        </w:rPr>
        <w:t>和/或售后服务网点清单；</w:t>
      </w:r>
    </w:p>
    <w:p w14:paraId="5B46D5A4">
      <w:pPr>
        <w:spacing w:before="319" w:line="220" w:lineRule="auto"/>
        <w:ind w:left="454"/>
        <w:rPr>
          <w:rFonts w:hint="eastAsia" w:ascii="等线" w:hAnsi="等线" w:eastAsia="等线" w:cs="等线"/>
          <w:sz w:val="24"/>
          <w:szCs w:val="24"/>
        </w:rPr>
      </w:pPr>
      <w:r>
        <w:rPr>
          <w:rFonts w:hint="eastAsia" w:ascii="等线" w:hAnsi="等线" w:eastAsia="等线" w:cs="等线"/>
          <w:spacing w:val="-4"/>
          <w:sz w:val="24"/>
          <w:szCs w:val="24"/>
        </w:rPr>
        <w:t>i) 现行有效的服务体系文件及文件清单；</w:t>
      </w:r>
    </w:p>
    <w:p w14:paraId="302A78D0">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j) 组织依据 SB/T 10962-2013（</w:t>
      </w:r>
      <w:r>
        <w:rPr>
          <w:rFonts w:hint="eastAsia" w:ascii="等线" w:hAnsi="等线" w:eastAsia="等线" w:cs="等线"/>
          <w:spacing w:val="-5"/>
          <w:sz w:val="24"/>
          <w:szCs w:val="24"/>
          <w:lang w:val="en-US" w:eastAsia="zh-CN"/>
        </w:rPr>
        <w:t>商品经营企业</w:t>
      </w:r>
      <w:r>
        <w:rPr>
          <w:rFonts w:hint="eastAsia" w:ascii="等线" w:hAnsi="等线" w:eastAsia="等线" w:cs="等线"/>
          <w:spacing w:val="-5"/>
          <w:sz w:val="24"/>
          <w:szCs w:val="24"/>
        </w:rPr>
        <w:t>服务）和/或 GB/T 27922-2011（</w:t>
      </w:r>
      <w:r>
        <w:rPr>
          <w:rFonts w:hint="eastAsia" w:ascii="等线" w:hAnsi="等线" w:eastAsia="等线" w:cs="等线"/>
          <w:spacing w:val="-5"/>
          <w:sz w:val="24"/>
          <w:szCs w:val="24"/>
          <w:lang w:val="en-US" w:eastAsia="zh-CN"/>
        </w:rPr>
        <w:t>商品</w:t>
      </w:r>
      <w:r>
        <w:rPr>
          <w:rFonts w:hint="eastAsia" w:ascii="等线" w:hAnsi="等线" w:eastAsia="等线" w:cs="等线"/>
          <w:spacing w:val="-5"/>
          <w:sz w:val="24"/>
          <w:szCs w:val="24"/>
        </w:rPr>
        <w:t>售后服务）进行的自我审查报告。</w:t>
      </w:r>
    </w:p>
    <w:p w14:paraId="0D6E8A31">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5.2 申请评审</w:t>
      </w:r>
    </w:p>
    <w:p w14:paraId="4227560E">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5.2.1 合同评审</w:t>
      </w:r>
    </w:p>
    <w:p w14:paraId="0AF87304">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lang w:eastAsia="zh-CN"/>
        </w:rPr>
        <w:t>华鼎</w:t>
      </w:r>
      <w:r>
        <w:rPr>
          <w:rFonts w:hint="eastAsia" w:ascii="等线" w:hAnsi="等线" w:eastAsia="等线" w:cs="等线"/>
          <w:spacing w:val="-5"/>
          <w:sz w:val="24"/>
          <w:szCs w:val="24"/>
        </w:rPr>
        <w:t>自收到认证申请方提交书面申请之日起十日内对申请资料进行评审，评审内容包括，但不限于：</w:t>
      </w:r>
    </w:p>
    <w:p w14:paraId="6AB4A6C3">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a) 申请组织基本信息及其产品/服务相关信息的充分性，了解组织特点，确定申请组织法律地位的合法性，必要时，通过公开网站验证提供信息的真实性、有效性；</w:t>
      </w:r>
    </w:p>
    <w:p w14:paraId="2ADC53D2">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b) 申请组织对于认证要求的信息是否已全部获知， 并愿意遵守；对于认证要求的信息理解上的差异是否已得到解决。初步确定可受理的认证范围，并确定专业小类代码；</w:t>
      </w:r>
    </w:p>
    <w:p w14:paraId="124FCD4F">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 xml:space="preserve">c) </w:t>
      </w:r>
      <w:r>
        <w:rPr>
          <w:rFonts w:hint="eastAsia" w:ascii="等线" w:hAnsi="等线" w:eastAsia="等线" w:cs="等线"/>
          <w:spacing w:val="-5"/>
          <w:sz w:val="24"/>
          <w:szCs w:val="24"/>
          <w:lang w:eastAsia="zh-CN"/>
        </w:rPr>
        <w:t>华鼎</w:t>
      </w:r>
      <w:r>
        <w:rPr>
          <w:rFonts w:hint="eastAsia" w:ascii="等线" w:hAnsi="等线" w:eastAsia="等线" w:cs="等线"/>
          <w:spacing w:val="-5"/>
          <w:sz w:val="24"/>
          <w:szCs w:val="24"/>
        </w:rPr>
        <w:t>的专业能力是否满足审查实施的要求， 包括认证审查人员和认证决定人员的能力是否满足要求；</w:t>
      </w:r>
    </w:p>
    <w:p w14:paraId="3E836C1A">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d) 再认证审查申请要求与上一个认证周期的变更情况（再认证项目审查）；</w:t>
      </w:r>
    </w:p>
    <w:p w14:paraId="34AC52CA">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对评审后确定无法受理的认证项目，</w:t>
      </w:r>
      <w:r>
        <w:rPr>
          <w:rFonts w:hint="eastAsia" w:ascii="等线" w:hAnsi="等线" w:eastAsia="等线" w:cs="等线"/>
          <w:spacing w:val="-5"/>
          <w:sz w:val="24"/>
          <w:szCs w:val="24"/>
          <w:lang w:eastAsia="zh-CN"/>
        </w:rPr>
        <w:t>华鼎</w:t>
      </w:r>
      <w:r>
        <w:rPr>
          <w:rFonts w:hint="eastAsia" w:ascii="等线" w:hAnsi="等线" w:eastAsia="等线" w:cs="等线"/>
          <w:spacing w:val="-5"/>
          <w:sz w:val="24"/>
          <w:szCs w:val="24"/>
        </w:rPr>
        <w:t>将在 5 日内通知认证申请方。对不 予受理的申请或认证申请方撤回的申请，应采取保密方式将申请文件和有关的资料归档保存。</w:t>
      </w:r>
    </w:p>
    <w:p w14:paraId="511F3C7B">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5.2.2 认证合同的签订</w:t>
      </w:r>
    </w:p>
    <w:p w14:paraId="64B07DA0">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lang w:eastAsia="zh-CN"/>
        </w:rPr>
        <w:t>华鼎</w:t>
      </w:r>
      <w:r>
        <w:rPr>
          <w:rFonts w:hint="eastAsia" w:ascii="等线" w:hAnsi="等线" w:eastAsia="等线" w:cs="等线"/>
          <w:spacing w:val="-5"/>
          <w:sz w:val="24"/>
          <w:szCs w:val="24"/>
        </w:rPr>
        <w:t>授权人根据评审结论与认证申请方签署《服务认证合同》一式两份，</w:t>
      </w:r>
      <w:r>
        <w:rPr>
          <w:rFonts w:hint="eastAsia" w:ascii="等线" w:hAnsi="等线" w:eastAsia="等线" w:cs="等线"/>
          <w:spacing w:val="-5"/>
          <w:sz w:val="24"/>
          <w:szCs w:val="24"/>
          <w:lang w:eastAsia="zh-CN"/>
        </w:rPr>
        <w:t>华鼎</w:t>
      </w:r>
      <w:r>
        <w:rPr>
          <w:rFonts w:hint="eastAsia" w:ascii="等线" w:hAnsi="等线" w:eastAsia="等线" w:cs="等线"/>
          <w:spacing w:val="-5"/>
          <w:sz w:val="24"/>
          <w:szCs w:val="24"/>
        </w:rPr>
        <w:t>和认证申请方各执一份。认证合同内容填写应完整、清晰、准确无误。</w:t>
      </w:r>
    </w:p>
    <w:p w14:paraId="43AE08DE">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5.2.3 认证信息或认证要求变更申请的评审</w:t>
      </w:r>
    </w:p>
    <w:p w14:paraId="27DC9D39">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 xml:space="preserve">获证组织提出组织名称、地址、认证范围的变更或认证要求的变更申请时， 需填报《组织信息变更表》，并提交必要的补充信息。 </w:t>
      </w:r>
      <w:r>
        <w:rPr>
          <w:rFonts w:hint="eastAsia" w:ascii="等线" w:hAnsi="等线" w:eastAsia="等线" w:cs="等线"/>
          <w:spacing w:val="-5"/>
          <w:sz w:val="24"/>
          <w:szCs w:val="24"/>
          <w:lang w:eastAsia="zh-CN"/>
        </w:rPr>
        <w:t>华鼎</w:t>
      </w:r>
      <w:r>
        <w:rPr>
          <w:rFonts w:hint="eastAsia" w:ascii="等线" w:hAnsi="等线" w:eastAsia="等线" w:cs="等线"/>
          <w:spacing w:val="-5"/>
          <w:sz w:val="24"/>
          <w:szCs w:val="24"/>
        </w:rPr>
        <w:t>将对变更内容进行评审，且要特别关注其申请变更资料的充分性和合法性。经评审确认不能受理的，将及时反馈申请组织说明理由。</w:t>
      </w:r>
    </w:p>
    <w:p w14:paraId="00515CCA">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5.3 审查</w:t>
      </w:r>
    </w:p>
    <w:p w14:paraId="500C4BEC">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5.3.1 审查准备</w:t>
      </w:r>
    </w:p>
    <w:p w14:paraId="6F13DBA1">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fldChar w:fldCharType="begin"/>
      </w:r>
      <w:r>
        <w:rPr>
          <w:rFonts w:hint="eastAsia" w:ascii="等线" w:hAnsi="等线" w:eastAsia="等线" w:cs="等线"/>
          <w:spacing w:val="-5"/>
          <w:sz w:val="24"/>
          <w:szCs w:val="24"/>
        </w:rPr>
        <w:instrText xml:space="preserve"> HYPERLINK "5.3.1.1" </w:instrText>
      </w:r>
      <w:r>
        <w:rPr>
          <w:rFonts w:hint="eastAsia" w:ascii="等线" w:hAnsi="等线" w:eastAsia="等线" w:cs="等线"/>
          <w:spacing w:val="-5"/>
          <w:sz w:val="24"/>
          <w:szCs w:val="24"/>
        </w:rPr>
        <w:fldChar w:fldCharType="separate"/>
      </w:r>
      <w:r>
        <w:rPr>
          <w:rFonts w:hint="eastAsia" w:ascii="等线" w:hAnsi="等线" w:eastAsia="等线" w:cs="等线"/>
          <w:spacing w:val="-5"/>
          <w:sz w:val="24"/>
          <w:szCs w:val="24"/>
        </w:rPr>
        <w:t>5.3.1.1</w:t>
      </w:r>
      <w:r>
        <w:rPr>
          <w:rFonts w:hint="eastAsia" w:ascii="等线" w:hAnsi="等线" w:eastAsia="等线" w:cs="等线"/>
          <w:spacing w:val="-5"/>
          <w:sz w:val="24"/>
          <w:szCs w:val="24"/>
        </w:rPr>
        <w:fldChar w:fldCharType="end"/>
      </w:r>
      <w:r>
        <w:rPr>
          <w:rFonts w:hint="eastAsia" w:ascii="等线" w:hAnsi="等线" w:eastAsia="等线" w:cs="等线"/>
          <w:spacing w:val="-5"/>
          <w:sz w:val="24"/>
          <w:szCs w:val="24"/>
        </w:rPr>
        <w:t xml:space="preserve"> </w:t>
      </w:r>
      <w:r>
        <w:rPr>
          <w:rFonts w:hint="eastAsia" w:ascii="等线" w:hAnsi="等线" w:eastAsia="等线" w:cs="等线"/>
          <w:spacing w:val="-5"/>
          <w:sz w:val="24"/>
          <w:szCs w:val="24"/>
          <w:lang w:eastAsia="zh-CN"/>
        </w:rPr>
        <w:t>华鼎</w:t>
      </w:r>
      <w:r>
        <w:rPr>
          <w:rFonts w:hint="eastAsia" w:ascii="等线" w:hAnsi="等线" w:eastAsia="等线" w:cs="等线"/>
          <w:spacing w:val="-5"/>
          <w:sz w:val="24"/>
          <w:szCs w:val="24"/>
        </w:rPr>
        <w:t>建立并实施</w:t>
      </w:r>
      <w:r>
        <w:rPr>
          <w:rFonts w:hint="eastAsia" w:ascii="等线" w:hAnsi="等线" w:eastAsia="等线" w:cs="等线"/>
          <w:spacing w:val="-5"/>
          <w:sz w:val="24"/>
          <w:szCs w:val="24"/>
          <w:lang w:val="en-US" w:eastAsia="zh-CN"/>
        </w:rPr>
        <w:t>体系运行的相关程序和制度</w:t>
      </w:r>
      <w:r>
        <w:rPr>
          <w:rFonts w:hint="eastAsia" w:ascii="等线" w:hAnsi="等线" w:eastAsia="等线" w:cs="等线"/>
          <w:spacing w:val="-5"/>
          <w:sz w:val="24"/>
          <w:szCs w:val="24"/>
        </w:rPr>
        <w:t>文件，通过对编制审查计划、选择和指派审查组、确定审查时间、进行多场所抽样、实施现场审查、编制审查报告以及进行认证决定等各过程进行管理， 以确保认证活动的符合性、有效性。</w:t>
      </w:r>
    </w:p>
    <w:p w14:paraId="0EC2753B">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fldChar w:fldCharType="begin"/>
      </w:r>
      <w:r>
        <w:rPr>
          <w:rFonts w:hint="eastAsia" w:ascii="等线" w:hAnsi="等线" w:eastAsia="等线" w:cs="等线"/>
          <w:spacing w:val="-5"/>
          <w:sz w:val="24"/>
          <w:szCs w:val="24"/>
        </w:rPr>
        <w:instrText xml:space="preserve"> HYPERLINK "5.3.1.2" </w:instrText>
      </w:r>
      <w:r>
        <w:rPr>
          <w:rFonts w:hint="eastAsia" w:ascii="等线" w:hAnsi="等线" w:eastAsia="等线" w:cs="等线"/>
          <w:spacing w:val="-5"/>
          <w:sz w:val="24"/>
          <w:szCs w:val="24"/>
        </w:rPr>
        <w:fldChar w:fldCharType="separate"/>
      </w:r>
      <w:r>
        <w:rPr>
          <w:rFonts w:hint="eastAsia" w:ascii="等线" w:hAnsi="等线" w:eastAsia="等线" w:cs="等线"/>
          <w:spacing w:val="-5"/>
          <w:sz w:val="24"/>
          <w:szCs w:val="24"/>
        </w:rPr>
        <w:t>5.3.1.2</w:t>
      </w:r>
      <w:r>
        <w:rPr>
          <w:rFonts w:hint="eastAsia" w:ascii="等线" w:hAnsi="等线" w:eastAsia="等线" w:cs="等线"/>
          <w:spacing w:val="-5"/>
          <w:sz w:val="24"/>
          <w:szCs w:val="24"/>
        </w:rPr>
        <w:fldChar w:fldCharType="end"/>
      </w:r>
      <w:r>
        <w:rPr>
          <w:rFonts w:hint="eastAsia" w:ascii="等线" w:hAnsi="等线" w:eastAsia="等线" w:cs="等线"/>
          <w:spacing w:val="-5"/>
          <w:sz w:val="24"/>
          <w:szCs w:val="24"/>
        </w:rPr>
        <w:t xml:space="preserve"> 依据上述文件的要求，</w:t>
      </w:r>
      <w:r>
        <w:rPr>
          <w:rFonts w:hint="eastAsia" w:ascii="等线" w:hAnsi="等线" w:eastAsia="等线" w:cs="等线"/>
          <w:spacing w:val="-5"/>
          <w:sz w:val="24"/>
          <w:szCs w:val="24"/>
          <w:lang w:eastAsia="zh-CN"/>
        </w:rPr>
        <w:t>华鼎</w:t>
      </w:r>
      <w:r>
        <w:rPr>
          <w:rFonts w:hint="eastAsia" w:ascii="等线" w:hAnsi="等线" w:eastAsia="等线" w:cs="等线"/>
          <w:spacing w:val="-5"/>
          <w:sz w:val="24"/>
          <w:szCs w:val="24"/>
        </w:rPr>
        <w:t>综合考虑组织的规模、行业特点、运作的复杂程度、服务场所的数量，以及经过证实的服务</w:t>
      </w:r>
      <w:r>
        <w:rPr>
          <w:rFonts w:hint="eastAsia" w:ascii="等线" w:hAnsi="等线" w:eastAsia="等线" w:cs="等线"/>
          <w:spacing w:val="-5"/>
          <w:sz w:val="24"/>
          <w:szCs w:val="24"/>
          <w:lang w:eastAsia="zh-CN"/>
        </w:rPr>
        <w:t>服务体系</w:t>
      </w:r>
      <w:r>
        <w:rPr>
          <w:rFonts w:hint="eastAsia" w:ascii="等线" w:hAnsi="等线" w:eastAsia="等线" w:cs="等线"/>
          <w:spacing w:val="-5"/>
          <w:sz w:val="24"/>
          <w:szCs w:val="24"/>
        </w:rPr>
        <w:t>有效性水平和 以前审查结果，制定整个认证周期的审查方案，并通过每次审查结束后的反 馈信息和审查前再次获取的变化信息，包括及时做出原有审查方案的调整，以实现动态的管理。</w:t>
      </w:r>
    </w:p>
    <w:p w14:paraId="6C136F69">
      <w:pPr>
        <w:pStyle w:val="2"/>
        <w:rPr>
          <w:rFonts w:hint="eastAsia" w:ascii="等线" w:hAnsi="等线" w:eastAsia="等线" w:cs="等线"/>
          <w:spacing w:val="-5"/>
          <w:sz w:val="24"/>
          <w:szCs w:val="24"/>
        </w:rPr>
      </w:pPr>
    </w:p>
    <w:p w14:paraId="7F753BED">
      <w:pPr>
        <w:pStyle w:val="2"/>
        <w:ind w:left="479" w:leftChars="228" w:firstLine="0" w:firstLineChars="0"/>
        <w:rPr>
          <w:rFonts w:hint="eastAsia" w:ascii="等线" w:hAnsi="等线" w:eastAsia="等线" w:cs="等线"/>
          <w:spacing w:val="-5"/>
          <w:sz w:val="24"/>
          <w:szCs w:val="24"/>
        </w:rPr>
      </w:pPr>
      <w:r>
        <w:rPr>
          <w:rFonts w:hint="eastAsia" w:ascii="等线" w:hAnsi="等线" w:eastAsia="等线" w:cs="等线"/>
          <w:spacing w:val="-5"/>
          <w:sz w:val="24"/>
          <w:szCs w:val="24"/>
        </w:rPr>
        <w:fldChar w:fldCharType="begin"/>
      </w:r>
      <w:r>
        <w:rPr>
          <w:rFonts w:hint="eastAsia" w:ascii="等线" w:hAnsi="等线" w:eastAsia="等线" w:cs="等线"/>
          <w:spacing w:val="-5"/>
          <w:sz w:val="24"/>
          <w:szCs w:val="24"/>
        </w:rPr>
        <w:instrText xml:space="preserve"> HYPERLINK "5.3.1.3" </w:instrText>
      </w:r>
      <w:r>
        <w:rPr>
          <w:rFonts w:hint="eastAsia" w:ascii="等线" w:hAnsi="等线" w:eastAsia="等线" w:cs="等线"/>
          <w:spacing w:val="-5"/>
          <w:sz w:val="24"/>
          <w:szCs w:val="24"/>
        </w:rPr>
        <w:fldChar w:fldCharType="separate"/>
      </w:r>
      <w:r>
        <w:rPr>
          <w:rFonts w:hint="eastAsia" w:ascii="等线" w:hAnsi="等线" w:eastAsia="等线" w:cs="等线"/>
          <w:spacing w:val="-5"/>
          <w:sz w:val="24"/>
          <w:szCs w:val="24"/>
        </w:rPr>
        <w:t>5.3.1.3</w:t>
      </w:r>
      <w:r>
        <w:rPr>
          <w:rFonts w:hint="eastAsia" w:ascii="等线" w:hAnsi="等线" w:eastAsia="等线" w:cs="等线"/>
          <w:spacing w:val="-5"/>
          <w:sz w:val="24"/>
          <w:szCs w:val="24"/>
        </w:rPr>
        <w:fldChar w:fldCharType="end"/>
      </w:r>
      <w:r>
        <w:rPr>
          <w:rFonts w:hint="eastAsia" w:ascii="等线" w:hAnsi="等线" w:eastAsia="等线" w:cs="等线"/>
          <w:spacing w:val="-5"/>
          <w:sz w:val="24"/>
          <w:szCs w:val="24"/>
        </w:rPr>
        <w:t>为确保认证审查的完整有效，</w:t>
      </w:r>
      <w:r>
        <w:rPr>
          <w:rFonts w:hint="eastAsia" w:ascii="等线" w:hAnsi="等线" w:eastAsia="等线" w:cs="等线"/>
          <w:spacing w:val="-5"/>
          <w:sz w:val="24"/>
          <w:szCs w:val="24"/>
          <w:lang w:eastAsia="zh-CN"/>
        </w:rPr>
        <w:t>华鼎</w:t>
      </w:r>
      <w:r>
        <w:rPr>
          <w:rFonts w:hint="eastAsia" w:ascii="等线" w:hAnsi="等线" w:eastAsia="等线" w:cs="等线"/>
          <w:spacing w:val="-5"/>
          <w:sz w:val="24"/>
          <w:szCs w:val="24"/>
        </w:rPr>
        <w:t>根据申请组织服务覆盖的服务类别、服务特性、运作的复杂程度、体系覆盖范围内的有效人数、服务场所数 量等情况，核算并拟定完成审查工作需要的时间。特殊情况下，可以合理的 增加或减少审查时间，理由应充分。具体参见</w:t>
      </w:r>
      <w:r>
        <w:rPr>
          <w:rFonts w:hint="eastAsia" w:ascii="等线" w:hAnsi="等线" w:eastAsia="等线" w:cs="等线"/>
          <w:spacing w:val="-5"/>
          <w:sz w:val="24"/>
          <w:szCs w:val="24"/>
          <w:highlight w:val="yellow"/>
          <w:lang w:val="en-US" w:eastAsia="zh-CN"/>
        </w:rPr>
        <w:t>附件1</w:t>
      </w:r>
      <w:r>
        <w:rPr>
          <w:rFonts w:hint="eastAsia" w:ascii="等线" w:hAnsi="等线" w:eastAsia="等线" w:cs="等线"/>
          <w:spacing w:val="-5"/>
          <w:sz w:val="24"/>
          <w:szCs w:val="24"/>
          <w:highlight w:val="yellow"/>
        </w:rPr>
        <w:t>《现场审查人日核算表》</w:t>
      </w:r>
      <w:r>
        <w:rPr>
          <w:rFonts w:hint="eastAsia" w:ascii="等线" w:hAnsi="等线" w:eastAsia="等线" w:cs="等线"/>
          <w:spacing w:val="-5"/>
          <w:sz w:val="24"/>
          <w:szCs w:val="24"/>
        </w:rPr>
        <w:t>。</w:t>
      </w:r>
    </w:p>
    <w:p w14:paraId="3BBF7BCE">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fldChar w:fldCharType="begin"/>
      </w:r>
      <w:r>
        <w:rPr>
          <w:rFonts w:hint="eastAsia" w:ascii="等线" w:hAnsi="等线" w:eastAsia="等线" w:cs="等线"/>
          <w:spacing w:val="-5"/>
          <w:sz w:val="24"/>
          <w:szCs w:val="24"/>
        </w:rPr>
        <w:instrText xml:space="preserve"> HYPERLINK "5.3.1.4" </w:instrText>
      </w:r>
      <w:r>
        <w:rPr>
          <w:rFonts w:hint="eastAsia" w:ascii="等线" w:hAnsi="等线" w:eastAsia="等线" w:cs="等线"/>
          <w:spacing w:val="-5"/>
          <w:sz w:val="24"/>
          <w:szCs w:val="24"/>
        </w:rPr>
        <w:fldChar w:fldCharType="separate"/>
      </w:r>
      <w:r>
        <w:rPr>
          <w:rFonts w:hint="eastAsia" w:ascii="等线" w:hAnsi="等线" w:eastAsia="等线" w:cs="等线"/>
          <w:spacing w:val="-5"/>
          <w:sz w:val="24"/>
          <w:szCs w:val="24"/>
        </w:rPr>
        <w:t>5.3.1.</w:t>
      </w:r>
      <w:r>
        <w:rPr>
          <w:rFonts w:hint="eastAsia" w:ascii="等线" w:hAnsi="等线" w:eastAsia="等线" w:cs="等线"/>
          <w:spacing w:val="-5"/>
          <w:sz w:val="24"/>
          <w:szCs w:val="24"/>
          <w:lang w:val="en-US" w:eastAsia="zh-CN"/>
        </w:rPr>
        <w:t>4</w:t>
      </w:r>
      <w:r>
        <w:rPr>
          <w:rFonts w:hint="eastAsia" w:ascii="等线" w:hAnsi="等线" w:eastAsia="等线" w:cs="等线"/>
          <w:spacing w:val="-5"/>
          <w:sz w:val="24"/>
          <w:szCs w:val="24"/>
        </w:rPr>
        <w:fldChar w:fldCharType="end"/>
      </w:r>
      <w:r>
        <w:rPr>
          <w:rFonts w:hint="eastAsia" w:ascii="等线" w:hAnsi="等线" w:eastAsia="等线" w:cs="等线"/>
          <w:spacing w:val="-5"/>
          <w:sz w:val="24"/>
          <w:szCs w:val="24"/>
        </w:rPr>
        <w:t xml:space="preserve"> </w:t>
      </w:r>
      <w:r>
        <w:rPr>
          <w:rFonts w:hint="eastAsia" w:ascii="等线" w:hAnsi="等线" w:eastAsia="等线" w:cs="等线"/>
          <w:spacing w:val="-5"/>
          <w:sz w:val="24"/>
          <w:szCs w:val="24"/>
          <w:lang w:eastAsia="zh-CN"/>
        </w:rPr>
        <w:t>华鼎</w:t>
      </w:r>
      <w:r>
        <w:rPr>
          <w:rFonts w:hint="eastAsia" w:ascii="等线" w:hAnsi="等线" w:eastAsia="等线" w:cs="等线"/>
          <w:spacing w:val="-5"/>
          <w:sz w:val="24"/>
          <w:szCs w:val="24"/>
        </w:rPr>
        <w:t>应选派有能力的审查员、技术专家等组成审查组，以执行所要求的各项审查活动。在确定审查组的规模和组成时， 应基于组织的服务类别、 服务范围、服务特性及活动/过程的技术特点， 并考虑审查员所具有的专业能力来确定。</w:t>
      </w:r>
    </w:p>
    <w:p w14:paraId="52598E27">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 xml:space="preserve">审查组的技术专家主要负责提供认证审查的技术支持，不作为审查员实施审 查， 不计入审查时间， 其在审查过程中的活动由审查组中的审查员承担责任。 </w:t>
      </w:r>
    </w:p>
    <w:p w14:paraId="742036FC">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fldChar w:fldCharType="begin"/>
      </w:r>
      <w:r>
        <w:rPr>
          <w:rFonts w:hint="eastAsia" w:ascii="等线" w:hAnsi="等线" w:eastAsia="等线" w:cs="等线"/>
          <w:spacing w:val="-5"/>
          <w:sz w:val="24"/>
          <w:szCs w:val="24"/>
        </w:rPr>
        <w:instrText xml:space="preserve"> HYPERLINK "5.3.1.5" </w:instrText>
      </w:r>
      <w:r>
        <w:rPr>
          <w:rFonts w:hint="eastAsia" w:ascii="等线" w:hAnsi="等线" w:eastAsia="等线" w:cs="等线"/>
          <w:spacing w:val="-5"/>
          <w:sz w:val="24"/>
          <w:szCs w:val="24"/>
        </w:rPr>
        <w:fldChar w:fldCharType="separate"/>
      </w:r>
      <w:r>
        <w:rPr>
          <w:rFonts w:hint="eastAsia" w:ascii="等线" w:hAnsi="等线" w:eastAsia="等线" w:cs="等线"/>
          <w:spacing w:val="-5"/>
          <w:sz w:val="24"/>
          <w:szCs w:val="24"/>
        </w:rPr>
        <w:t>5.3.1.5</w:t>
      </w:r>
      <w:r>
        <w:rPr>
          <w:rFonts w:hint="eastAsia" w:ascii="等线" w:hAnsi="等线" w:eastAsia="等线" w:cs="等线"/>
          <w:spacing w:val="-5"/>
          <w:sz w:val="24"/>
          <w:szCs w:val="24"/>
        </w:rPr>
        <w:fldChar w:fldCharType="end"/>
      </w:r>
      <w:r>
        <w:rPr>
          <w:rFonts w:hint="eastAsia" w:ascii="等线" w:hAnsi="等线" w:eastAsia="等线" w:cs="等线"/>
          <w:spacing w:val="-5"/>
          <w:sz w:val="24"/>
          <w:szCs w:val="24"/>
        </w:rPr>
        <w:t xml:space="preserve"> 审查实施前，审查组制定书面的审查计划（包括多场所抽样计划），以便为有关各方就审查活动的安排和实施达成一致提供依据。如遇特殊情况临时变更计划时，应及时将变更情况书面通知受审查方，并协商一致。</w:t>
      </w:r>
    </w:p>
    <w:p w14:paraId="577A88B3">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5.3.2 文件审查</w:t>
      </w:r>
    </w:p>
    <w:p w14:paraId="66983C7F">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文件审查将在现场审查实施前进行，依据 SB/T 10962-2013《商品经营企业服务质量评价体系》和/或 GB/T 27922-2011《商品售后服务评价体系》及相关法律法规要求对申请组织的服务体系文件进行适宜性和充分性的审查，当 审查过程中发现文件存在不符合而影响服务体系的运行时，应告知申请组织 进行及时的纠正和纠正措施。由审查组组长进行文件审查工作，并对文件审查结果负责。文件审查通过后，方可安排现场审查。</w:t>
      </w:r>
    </w:p>
    <w:p w14:paraId="0048BFF3">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5.3.3 现场审查</w:t>
      </w:r>
    </w:p>
    <w:p w14:paraId="392BCBDE">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fldChar w:fldCharType="begin"/>
      </w:r>
      <w:r>
        <w:rPr>
          <w:rFonts w:hint="eastAsia" w:ascii="等线" w:hAnsi="等线" w:eastAsia="等线" w:cs="等线"/>
          <w:spacing w:val="-5"/>
          <w:sz w:val="24"/>
          <w:szCs w:val="24"/>
        </w:rPr>
        <w:instrText xml:space="preserve"> HYPERLINK "5.3.3.1" </w:instrText>
      </w:r>
      <w:r>
        <w:rPr>
          <w:rFonts w:hint="eastAsia" w:ascii="等线" w:hAnsi="等线" w:eastAsia="等线" w:cs="等线"/>
          <w:spacing w:val="-5"/>
          <w:sz w:val="24"/>
          <w:szCs w:val="24"/>
        </w:rPr>
        <w:fldChar w:fldCharType="separate"/>
      </w:r>
      <w:r>
        <w:rPr>
          <w:rFonts w:hint="eastAsia" w:ascii="等线" w:hAnsi="等线" w:eastAsia="等线" w:cs="等线"/>
          <w:spacing w:val="-5"/>
          <w:sz w:val="24"/>
          <w:szCs w:val="24"/>
        </w:rPr>
        <w:t>5.3.3.1</w:t>
      </w:r>
      <w:r>
        <w:rPr>
          <w:rFonts w:hint="eastAsia" w:ascii="等线" w:hAnsi="等线" w:eastAsia="等线" w:cs="等线"/>
          <w:spacing w:val="-5"/>
          <w:sz w:val="24"/>
          <w:szCs w:val="24"/>
        </w:rPr>
        <w:fldChar w:fldCharType="end"/>
      </w:r>
      <w:r>
        <w:rPr>
          <w:rFonts w:hint="eastAsia" w:ascii="等线" w:hAnsi="等线" w:eastAsia="等线" w:cs="等线"/>
          <w:spacing w:val="-5"/>
          <w:sz w:val="24"/>
          <w:szCs w:val="24"/>
        </w:rPr>
        <w:t xml:space="preserve"> 现场审查宜安排在正常营业时间内进行，应能够有效观察到组织提供的</w:t>
      </w:r>
      <w:r>
        <w:rPr>
          <w:rFonts w:hint="eastAsia" w:ascii="等线" w:hAnsi="等线" w:eastAsia="等线" w:cs="等线"/>
          <w:spacing w:val="-5"/>
          <w:sz w:val="24"/>
          <w:szCs w:val="24"/>
          <w:lang w:eastAsia="zh-CN"/>
        </w:rPr>
        <w:t>商品经营企业服务</w:t>
      </w:r>
      <w:r>
        <w:rPr>
          <w:rFonts w:hint="eastAsia" w:ascii="等线" w:hAnsi="等线" w:eastAsia="等线" w:cs="等线"/>
          <w:spacing w:val="-5"/>
          <w:sz w:val="24"/>
          <w:szCs w:val="24"/>
        </w:rPr>
        <w:t>和售后服务活动。</w:t>
      </w:r>
    </w:p>
    <w:p w14:paraId="11D04E23">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fldChar w:fldCharType="begin"/>
      </w:r>
      <w:r>
        <w:rPr>
          <w:rFonts w:hint="eastAsia" w:ascii="等线" w:hAnsi="等线" w:eastAsia="等线" w:cs="等线"/>
          <w:spacing w:val="-5"/>
          <w:sz w:val="24"/>
          <w:szCs w:val="24"/>
        </w:rPr>
        <w:instrText xml:space="preserve"> HYPERLINK "5.3.3.2" </w:instrText>
      </w:r>
      <w:r>
        <w:rPr>
          <w:rFonts w:hint="eastAsia" w:ascii="等线" w:hAnsi="等线" w:eastAsia="等线" w:cs="等线"/>
          <w:spacing w:val="-5"/>
          <w:sz w:val="24"/>
          <w:szCs w:val="24"/>
        </w:rPr>
        <w:fldChar w:fldCharType="separate"/>
      </w:r>
      <w:r>
        <w:rPr>
          <w:rFonts w:hint="eastAsia" w:ascii="等线" w:hAnsi="等线" w:eastAsia="等线" w:cs="等线"/>
          <w:spacing w:val="-5"/>
          <w:sz w:val="24"/>
          <w:szCs w:val="24"/>
        </w:rPr>
        <w:t>5.3.3.2</w:t>
      </w:r>
      <w:r>
        <w:rPr>
          <w:rFonts w:hint="eastAsia" w:ascii="等线" w:hAnsi="等线" w:eastAsia="等线" w:cs="等线"/>
          <w:spacing w:val="-5"/>
          <w:sz w:val="24"/>
          <w:szCs w:val="24"/>
        </w:rPr>
        <w:fldChar w:fldCharType="end"/>
      </w:r>
      <w:r>
        <w:rPr>
          <w:rFonts w:hint="eastAsia" w:ascii="等线" w:hAnsi="等线" w:eastAsia="等线" w:cs="等线"/>
          <w:spacing w:val="-5"/>
          <w:sz w:val="24"/>
          <w:szCs w:val="24"/>
        </w:rPr>
        <w:t xml:space="preserve"> 原则上，初始现场审查采用一组由服务特性测评与服务管理审核相结合的审查方式，审查方式包括：</w:t>
      </w:r>
    </w:p>
    <w:p w14:paraId="5DB59345">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a) 服务管理审核；</w:t>
      </w:r>
    </w:p>
    <w:p w14:paraId="450707D4">
      <w:pPr>
        <w:spacing w:before="318" w:line="219" w:lineRule="auto"/>
        <w:ind w:left="437"/>
        <w:rPr>
          <w:rFonts w:hint="eastAsia" w:ascii="等线" w:hAnsi="等线" w:eastAsia="等线" w:cs="等线"/>
          <w:spacing w:val="-5"/>
          <w:sz w:val="24"/>
          <w:szCs w:val="24"/>
          <w:highlight w:val="yellow"/>
        </w:rPr>
      </w:pPr>
      <w:r>
        <w:rPr>
          <w:rFonts w:hint="eastAsia" w:ascii="等线" w:hAnsi="等线" w:eastAsia="等线" w:cs="等线"/>
          <w:spacing w:val="-5"/>
          <w:sz w:val="24"/>
          <w:szCs w:val="24"/>
          <w:highlight w:val="yellow"/>
        </w:rPr>
        <w:t>b) 服务特性（顾客接触点） 测评</w:t>
      </w:r>
      <w:r>
        <w:rPr>
          <w:rFonts w:hint="eastAsia" w:ascii="等线" w:hAnsi="等线" w:eastAsia="等线" w:cs="等线"/>
          <w:spacing w:val="-5"/>
          <w:sz w:val="24"/>
          <w:szCs w:val="24"/>
          <w:highlight w:val="yellow"/>
          <w:lang w:eastAsia="zh-CN"/>
        </w:rPr>
        <w:t>：</w:t>
      </w:r>
      <w:r>
        <w:rPr>
          <w:rFonts w:hint="eastAsia" w:ascii="等线" w:hAnsi="等线" w:eastAsia="等线" w:cs="等线"/>
          <w:spacing w:val="-5"/>
          <w:sz w:val="24"/>
          <w:szCs w:val="24"/>
          <w:highlight w:val="yellow"/>
        </w:rPr>
        <w:t>服务体验、现场测试、现场观察、顾客调查</w:t>
      </w:r>
      <w:r>
        <w:rPr>
          <w:rFonts w:hint="eastAsia" w:ascii="等线" w:hAnsi="等线" w:eastAsia="等线" w:cs="等线"/>
          <w:spacing w:val="-5"/>
          <w:sz w:val="24"/>
          <w:szCs w:val="24"/>
          <w:highlight w:val="yellow"/>
          <w:lang w:val="en-US" w:eastAsia="zh-CN"/>
        </w:rPr>
        <w:t>等</w:t>
      </w:r>
      <w:r>
        <w:rPr>
          <w:rFonts w:hint="eastAsia" w:ascii="等线" w:hAnsi="等线" w:eastAsia="等线" w:cs="等线"/>
          <w:spacing w:val="-5"/>
          <w:sz w:val="24"/>
          <w:szCs w:val="24"/>
          <w:highlight w:val="yellow"/>
        </w:rPr>
        <w:t>；</w:t>
      </w:r>
    </w:p>
    <w:p w14:paraId="69306866">
      <w:pPr>
        <w:spacing w:before="318" w:line="219" w:lineRule="auto"/>
        <w:ind w:left="437"/>
        <w:rPr>
          <w:rFonts w:hint="eastAsia" w:ascii="等线" w:hAnsi="等线" w:eastAsia="等线" w:cs="等线"/>
          <w:spacing w:val="-5"/>
          <w:sz w:val="24"/>
          <w:szCs w:val="24"/>
          <w:highlight w:val="yellow"/>
          <w:lang w:val="en-US" w:eastAsia="zh-CN"/>
        </w:rPr>
      </w:pPr>
      <w:r>
        <w:rPr>
          <w:rFonts w:hint="eastAsia" w:ascii="等线" w:hAnsi="等线" w:eastAsia="等线" w:cs="等线"/>
          <w:spacing w:val="-5"/>
          <w:sz w:val="24"/>
          <w:szCs w:val="24"/>
          <w:highlight w:val="yellow"/>
        </w:rPr>
        <w:t>注：</w:t>
      </w:r>
      <w:r>
        <w:rPr>
          <w:rFonts w:hint="eastAsia" w:ascii="等线" w:hAnsi="等线" w:eastAsia="等线" w:cs="等线"/>
          <w:spacing w:val="-5"/>
          <w:sz w:val="24"/>
          <w:szCs w:val="24"/>
          <w:highlight w:val="yellow"/>
          <w:lang w:val="en-US" w:eastAsia="zh-CN"/>
        </w:rPr>
        <w:t>服务特性测评要求：</w:t>
      </w:r>
    </w:p>
    <w:p w14:paraId="14183F0B">
      <w:pPr>
        <w:spacing w:before="318" w:line="219" w:lineRule="auto"/>
        <w:ind w:left="437"/>
        <w:rPr>
          <w:rFonts w:hint="eastAsia" w:ascii="等线" w:hAnsi="等线" w:eastAsia="等线" w:cs="等线"/>
          <w:spacing w:val="-5"/>
          <w:sz w:val="24"/>
          <w:szCs w:val="24"/>
          <w:highlight w:val="yellow"/>
        </w:rPr>
      </w:pPr>
      <w:r>
        <w:rPr>
          <w:rFonts w:hint="eastAsia" w:ascii="等线" w:hAnsi="等线" w:eastAsia="等线" w:cs="等线"/>
          <w:spacing w:val="-5"/>
          <w:sz w:val="24"/>
          <w:szCs w:val="24"/>
          <w:highlight w:val="yellow"/>
          <w:lang w:val="en-US" w:eastAsia="zh-CN"/>
        </w:rPr>
        <w:t>1、初审或再认证至少选择两项，监督至少一项，由审核组长依据企业具体情况选择确定</w:t>
      </w:r>
      <w:r>
        <w:rPr>
          <w:rFonts w:hint="eastAsia" w:ascii="等线" w:hAnsi="等线" w:eastAsia="等线" w:cs="等线"/>
          <w:spacing w:val="-5"/>
          <w:sz w:val="24"/>
          <w:szCs w:val="24"/>
          <w:highlight w:val="yellow"/>
        </w:rPr>
        <w:t>。</w:t>
      </w:r>
    </w:p>
    <w:p w14:paraId="123FD23F">
      <w:pPr>
        <w:spacing w:before="318" w:line="219" w:lineRule="auto"/>
        <w:ind w:left="437"/>
        <w:rPr>
          <w:rFonts w:hint="eastAsia" w:ascii="等线" w:hAnsi="等线" w:eastAsia="等线" w:cs="等线"/>
          <w:spacing w:val="-5"/>
          <w:sz w:val="24"/>
          <w:szCs w:val="24"/>
          <w:highlight w:val="yellow"/>
          <w:lang w:val="en-US" w:eastAsia="zh-CN"/>
        </w:rPr>
      </w:pPr>
      <w:r>
        <w:rPr>
          <w:rFonts w:hint="eastAsia" w:ascii="等线" w:hAnsi="等线" w:eastAsia="等线" w:cs="等线"/>
          <w:spacing w:val="-5"/>
          <w:sz w:val="24"/>
          <w:szCs w:val="24"/>
          <w:highlight w:val="yellow"/>
          <w:lang w:val="en-US" w:eastAsia="zh-CN"/>
        </w:rPr>
        <w:t>2、服务特性测评审核时间不得少于服务管理审核时间。</w:t>
      </w:r>
    </w:p>
    <w:p w14:paraId="5338C600">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fldChar w:fldCharType="begin"/>
      </w:r>
      <w:r>
        <w:rPr>
          <w:rFonts w:hint="eastAsia" w:ascii="等线" w:hAnsi="等线" w:eastAsia="等线" w:cs="等线"/>
          <w:spacing w:val="-5"/>
          <w:sz w:val="24"/>
          <w:szCs w:val="24"/>
        </w:rPr>
        <w:instrText xml:space="preserve"> HYPERLINK "5.3.3.3" </w:instrText>
      </w:r>
      <w:r>
        <w:rPr>
          <w:rFonts w:hint="eastAsia" w:ascii="等线" w:hAnsi="等线" w:eastAsia="等线" w:cs="等线"/>
          <w:spacing w:val="-5"/>
          <w:sz w:val="24"/>
          <w:szCs w:val="24"/>
        </w:rPr>
        <w:fldChar w:fldCharType="separate"/>
      </w:r>
      <w:r>
        <w:rPr>
          <w:rFonts w:hint="eastAsia" w:ascii="等线" w:hAnsi="等线" w:eastAsia="等线" w:cs="等线"/>
          <w:spacing w:val="-5"/>
          <w:sz w:val="24"/>
          <w:szCs w:val="24"/>
        </w:rPr>
        <w:t>5.3.3.3</w:t>
      </w:r>
      <w:r>
        <w:rPr>
          <w:rFonts w:hint="eastAsia" w:ascii="等线" w:hAnsi="等线" w:eastAsia="等线" w:cs="等线"/>
          <w:spacing w:val="-5"/>
          <w:sz w:val="24"/>
          <w:szCs w:val="24"/>
        </w:rPr>
        <w:fldChar w:fldCharType="end"/>
      </w:r>
      <w:r>
        <w:rPr>
          <w:rFonts w:hint="eastAsia" w:ascii="等线" w:hAnsi="等线" w:eastAsia="等线" w:cs="等线"/>
          <w:spacing w:val="-5"/>
          <w:sz w:val="24"/>
          <w:szCs w:val="24"/>
        </w:rPr>
        <w:t xml:space="preserve"> 审查组依据 SB/T 10962-2013《商品经营企业服务质量评价体系》 和/或 GB/T27922-2011《商品售后服务评价体系》标准要求进行审查。每项指标的得分百分率填入《服务测评检查表》。</w:t>
      </w:r>
    </w:p>
    <w:p w14:paraId="706ADE3F">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fldChar w:fldCharType="begin"/>
      </w:r>
      <w:r>
        <w:rPr>
          <w:rFonts w:hint="eastAsia" w:ascii="等线" w:hAnsi="等线" w:eastAsia="等线" w:cs="等线"/>
          <w:spacing w:val="-5"/>
          <w:sz w:val="24"/>
          <w:szCs w:val="24"/>
        </w:rPr>
        <w:instrText xml:space="preserve"> HYPERLINK "5.3.3.4" </w:instrText>
      </w:r>
      <w:r>
        <w:rPr>
          <w:rFonts w:hint="eastAsia" w:ascii="等线" w:hAnsi="等线" w:eastAsia="等线" w:cs="等线"/>
          <w:spacing w:val="-5"/>
          <w:sz w:val="24"/>
          <w:szCs w:val="24"/>
        </w:rPr>
        <w:fldChar w:fldCharType="separate"/>
      </w:r>
      <w:r>
        <w:rPr>
          <w:rFonts w:hint="eastAsia" w:ascii="等线" w:hAnsi="等线" w:eastAsia="等线" w:cs="等线"/>
          <w:spacing w:val="-5"/>
          <w:sz w:val="24"/>
          <w:szCs w:val="24"/>
        </w:rPr>
        <w:t>5.3.3.4</w:t>
      </w:r>
      <w:r>
        <w:rPr>
          <w:rFonts w:hint="eastAsia" w:ascii="等线" w:hAnsi="等线" w:eastAsia="等线" w:cs="等线"/>
          <w:spacing w:val="-5"/>
          <w:sz w:val="24"/>
          <w:szCs w:val="24"/>
        </w:rPr>
        <w:fldChar w:fldCharType="end"/>
      </w:r>
      <w:r>
        <w:rPr>
          <w:rFonts w:hint="eastAsia" w:ascii="等线" w:hAnsi="等线" w:eastAsia="等线" w:cs="等线"/>
          <w:spacing w:val="-5"/>
          <w:sz w:val="24"/>
          <w:szCs w:val="24"/>
        </w:rPr>
        <w:t xml:space="preserve"> 评分指南见 SB/T 10962-2013《商品经营企业服务质量评价体系》 标准附录 B 和/或 GB/T 27922-2011《商品售后服务评价体系》标准 6.2 和6.3。</w:t>
      </w:r>
    </w:p>
    <w:p w14:paraId="06CDB0C4">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fldChar w:fldCharType="begin"/>
      </w:r>
      <w:r>
        <w:rPr>
          <w:rFonts w:hint="eastAsia" w:ascii="等线" w:hAnsi="等线" w:eastAsia="等线" w:cs="等线"/>
          <w:spacing w:val="-5"/>
          <w:sz w:val="24"/>
          <w:szCs w:val="24"/>
        </w:rPr>
        <w:instrText xml:space="preserve"> HYPERLINK "5.3.3.5" </w:instrText>
      </w:r>
      <w:r>
        <w:rPr>
          <w:rFonts w:hint="eastAsia" w:ascii="等线" w:hAnsi="等线" w:eastAsia="等线" w:cs="等线"/>
          <w:spacing w:val="-5"/>
          <w:sz w:val="24"/>
          <w:szCs w:val="24"/>
        </w:rPr>
        <w:fldChar w:fldCharType="separate"/>
      </w:r>
      <w:r>
        <w:rPr>
          <w:rFonts w:hint="eastAsia" w:ascii="等线" w:hAnsi="等线" w:eastAsia="等线" w:cs="等线"/>
          <w:spacing w:val="-5"/>
          <w:sz w:val="24"/>
          <w:szCs w:val="24"/>
        </w:rPr>
        <w:t>5.3.3.5</w:t>
      </w:r>
      <w:r>
        <w:rPr>
          <w:rFonts w:hint="eastAsia" w:ascii="等线" w:hAnsi="等线" w:eastAsia="等线" w:cs="等线"/>
          <w:spacing w:val="-5"/>
          <w:sz w:val="24"/>
          <w:szCs w:val="24"/>
        </w:rPr>
        <w:fldChar w:fldCharType="end"/>
      </w:r>
      <w:r>
        <w:rPr>
          <w:rFonts w:hint="eastAsia" w:ascii="等线" w:hAnsi="等线" w:eastAsia="等线" w:cs="等线"/>
          <w:spacing w:val="-5"/>
          <w:sz w:val="24"/>
          <w:szCs w:val="24"/>
        </w:rPr>
        <w:t xml:space="preserve"> 每次审查结束后， 审查组长应编制《服务认证审查报告》，并对报告的内容负责， 经技术部认证决定通过，由</w:t>
      </w:r>
      <w:r>
        <w:rPr>
          <w:rFonts w:hint="eastAsia" w:ascii="等线" w:hAnsi="等线" w:eastAsia="等线" w:cs="等线"/>
          <w:spacing w:val="-5"/>
          <w:sz w:val="24"/>
          <w:szCs w:val="24"/>
          <w:lang w:eastAsia="zh-CN"/>
        </w:rPr>
        <w:t>华鼎</w:t>
      </w:r>
      <w:r>
        <w:rPr>
          <w:rFonts w:hint="eastAsia" w:ascii="等线" w:hAnsi="等线" w:eastAsia="等线" w:cs="等线"/>
          <w:spacing w:val="-5"/>
          <w:sz w:val="24"/>
          <w:szCs w:val="24"/>
          <w:lang w:val="en-US" w:eastAsia="zh-CN"/>
        </w:rPr>
        <w:t>总经理</w:t>
      </w:r>
      <w:r>
        <w:rPr>
          <w:rFonts w:hint="eastAsia" w:ascii="等线" w:hAnsi="等线" w:eastAsia="等线" w:cs="等线"/>
          <w:spacing w:val="-5"/>
          <w:sz w:val="24"/>
          <w:szCs w:val="24"/>
        </w:rPr>
        <w:t>批准后发放到认证申请方。</w:t>
      </w:r>
    </w:p>
    <w:p w14:paraId="0B296F85">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报告应提供对审查的准确、简明和清晰的记录，以便为认证决定提供充分的信息，并应包括如下内容：</w:t>
      </w:r>
    </w:p>
    <w:p w14:paraId="6BBE8AEB">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a) 客户的名称和地址及其管理者代表；</w:t>
      </w:r>
    </w:p>
    <w:p w14:paraId="394168DF">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b) 审查类型（如初次认证、监督或再认证审查）</w:t>
      </w:r>
    </w:p>
    <w:p w14:paraId="3C366ABC">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c) 审查的目的、范围和准则；</w:t>
      </w:r>
    </w:p>
    <w:p w14:paraId="3FB3B07F">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d) 审查组成员及审查时间；</w:t>
      </w:r>
    </w:p>
    <w:p w14:paraId="281074B6">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e) 与有关认证要求符合性的陈述；</w:t>
      </w:r>
    </w:p>
    <w:p w14:paraId="2823FADA">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f) 报告覆盖的时间段；</w:t>
      </w:r>
    </w:p>
    <w:p w14:paraId="57029D50">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g) 审查的分值和审查结论。</w:t>
      </w:r>
    </w:p>
    <w:p w14:paraId="5A5DFDC0">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对于</w:t>
      </w:r>
      <w:r>
        <w:rPr>
          <w:rFonts w:hint="eastAsia" w:ascii="等线" w:hAnsi="等线" w:eastAsia="等线" w:cs="等线"/>
          <w:spacing w:val="-5"/>
          <w:sz w:val="24"/>
          <w:szCs w:val="24"/>
          <w:lang w:val="en-US" w:eastAsia="zh-CN"/>
        </w:rPr>
        <w:t>商品经营企业服务、</w:t>
      </w:r>
      <w:r>
        <w:rPr>
          <w:rFonts w:hint="eastAsia" w:ascii="等线" w:hAnsi="等线" w:eastAsia="等线" w:cs="等线"/>
          <w:spacing w:val="-5"/>
          <w:sz w:val="24"/>
          <w:szCs w:val="24"/>
        </w:rPr>
        <w:t>商品售后服务认证， 综合评分达到 70 分（含），且扣分  项少于 5 项（不含），通过现场审查并推荐注册；低于 70 分（不含）或扣 分项多于 5 项（含），不通过现场审查。通过现场审查时，95 分（含 95 分） 以上，推荐注册五星级服务认证。对于批发零售业中的其他业态服务认证，  综合评分达到 450 分（含），通过现场审查并推荐注册； 达到规定的分数后，推荐注册五星级服务认证。</w:t>
      </w:r>
    </w:p>
    <w:p w14:paraId="14FCE683">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5.4 认证决定</w:t>
      </w:r>
    </w:p>
    <w:p w14:paraId="0F00DF5C">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技术部负责认证决定工作，认证决定人员根据对审查过程中收集的信息以及审查过程之外获取的任何可作为认证决定依据的信息（如来自行政监管部门、 顾客、行业协会的信息等）进行评定，</w:t>
      </w:r>
      <w:r>
        <w:rPr>
          <w:rFonts w:hint="eastAsia" w:ascii="等线" w:hAnsi="等线" w:eastAsia="等线" w:cs="等线"/>
          <w:spacing w:val="-5"/>
          <w:sz w:val="24"/>
          <w:szCs w:val="24"/>
          <w:lang w:eastAsia="zh-CN"/>
        </w:rPr>
        <w:t>华鼎</w:t>
      </w:r>
      <w:r>
        <w:rPr>
          <w:rFonts w:hint="eastAsia" w:ascii="等线" w:hAnsi="等线" w:eastAsia="等线" w:cs="等线"/>
          <w:spacing w:val="-5"/>
          <w:sz w:val="24"/>
          <w:szCs w:val="24"/>
        </w:rPr>
        <w:t>在 10 个工作日完成认证决定， 对经审定不合格的申请组织，</w:t>
      </w:r>
      <w:r>
        <w:rPr>
          <w:rFonts w:hint="eastAsia" w:ascii="等线" w:hAnsi="等线" w:eastAsia="等线" w:cs="等线"/>
          <w:spacing w:val="-5"/>
          <w:sz w:val="24"/>
          <w:szCs w:val="24"/>
          <w:lang w:eastAsia="zh-CN"/>
        </w:rPr>
        <w:t>华鼎</w:t>
      </w:r>
      <w:r>
        <w:rPr>
          <w:rFonts w:hint="eastAsia" w:ascii="等线" w:hAnsi="等线" w:eastAsia="等线" w:cs="等线"/>
          <w:spacing w:val="-5"/>
          <w:sz w:val="24"/>
          <w:szCs w:val="24"/>
        </w:rPr>
        <w:t>将做出不予以认证注册的决定，并将不能注册的原因书面通知申请组织。为确保公正性，认证决定的人员不能是实施现场审查的人员。</w:t>
      </w:r>
    </w:p>
    <w:p w14:paraId="4186A332">
      <w:pPr>
        <w:spacing w:before="318" w:line="219" w:lineRule="auto"/>
        <w:ind w:left="437"/>
        <w:rPr>
          <w:rFonts w:hint="eastAsia" w:ascii="等线" w:hAnsi="等线" w:eastAsia="等线" w:cs="等线"/>
          <w:spacing w:val="-5"/>
          <w:sz w:val="24"/>
          <w:szCs w:val="24"/>
        </w:rPr>
      </w:pPr>
    </w:p>
    <w:p w14:paraId="7DCCC84B">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根据认证决定批准结果向满足认证要求的申请组织颁发正式的服务认证证书，服务认证证书的内容包括：</w:t>
      </w:r>
    </w:p>
    <w:p w14:paraId="1239CF93">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 xml:space="preserve">a) </w:t>
      </w:r>
      <w:r>
        <w:rPr>
          <w:rFonts w:hint="eastAsia" w:ascii="等线" w:hAnsi="等线" w:eastAsia="等线" w:cs="等线"/>
          <w:spacing w:val="-5"/>
          <w:sz w:val="24"/>
          <w:szCs w:val="24"/>
          <w:lang w:eastAsia="zh-CN"/>
        </w:rPr>
        <w:t>华鼎</w:t>
      </w:r>
      <w:r>
        <w:rPr>
          <w:rFonts w:hint="eastAsia" w:ascii="等线" w:hAnsi="等线" w:eastAsia="等线" w:cs="等线"/>
          <w:spacing w:val="-5"/>
          <w:sz w:val="24"/>
          <w:szCs w:val="24"/>
        </w:rPr>
        <w:t>认证的名称、认证标志；</w:t>
      </w:r>
    </w:p>
    <w:p w14:paraId="2987F4B5">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b) 获证组织的名称、地址及其服务提供场所的地址；</w:t>
      </w:r>
    </w:p>
    <w:p w14:paraId="5E57208B">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c) 认证范围；</w:t>
      </w:r>
    </w:p>
    <w:p w14:paraId="7EF971A1">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d) 服务认证依据的标准；</w:t>
      </w:r>
    </w:p>
    <w:p w14:paraId="4AA98766">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e) 发证日期和认证有效期；</w:t>
      </w:r>
    </w:p>
    <w:p w14:paraId="4B241291">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f) 证书编号和二维码；</w:t>
      </w:r>
    </w:p>
    <w:p w14:paraId="4D0D629A">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g) 适用时， 服务认证的星级。</w:t>
      </w:r>
    </w:p>
    <w:p w14:paraId="26B2B7CC">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服务认证证书有效期为三年；再认证通过后证书有效期在初次证书到期日往后再推三年。有效期内证书的有效性通过</w:t>
      </w:r>
      <w:r>
        <w:rPr>
          <w:rFonts w:hint="eastAsia" w:ascii="等线" w:hAnsi="等线" w:eastAsia="等线" w:cs="等线"/>
          <w:spacing w:val="-5"/>
          <w:sz w:val="24"/>
          <w:szCs w:val="24"/>
          <w:lang w:eastAsia="zh-CN"/>
        </w:rPr>
        <w:t>华鼎</w:t>
      </w:r>
      <w:r>
        <w:rPr>
          <w:rFonts w:hint="eastAsia" w:ascii="等线" w:hAnsi="等线" w:eastAsia="等线" w:cs="等线"/>
          <w:spacing w:val="-5"/>
          <w:sz w:val="24"/>
          <w:szCs w:val="24"/>
        </w:rPr>
        <w:t>对获证组织定期的监督审查来保持。获证组织对于认证证书和认证标志的使用应参照《认证证书和认证标 志使用规定》。一般情况下， 将根据服务类型（</w:t>
      </w:r>
      <w:r>
        <w:rPr>
          <w:rFonts w:hint="eastAsia" w:ascii="等线" w:hAnsi="等线" w:eastAsia="等线" w:cs="等线"/>
          <w:spacing w:val="-5"/>
          <w:sz w:val="24"/>
          <w:szCs w:val="24"/>
          <w:lang w:val="en-US" w:eastAsia="zh-CN"/>
        </w:rPr>
        <w:t>商品经营企业服务</w:t>
      </w:r>
      <w:r>
        <w:rPr>
          <w:rFonts w:hint="eastAsia" w:ascii="等线" w:hAnsi="等线" w:eastAsia="等线" w:cs="等线"/>
          <w:spacing w:val="-5"/>
          <w:sz w:val="24"/>
          <w:szCs w:val="24"/>
        </w:rPr>
        <w:t>、商品售后服务） 分别发放证书。</w:t>
      </w:r>
    </w:p>
    <w:p w14:paraId="67EB20E0">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5.6 获证后监督</w:t>
      </w:r>
    </w:p>
    <w:p w14:paraId="3A657D60">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5.6.1 为确保获证组织持续满足认证要求，在证书有效期内，</w:t>
      </w:r>
      <w:r>
        <w:rPr>
          <w:rFonts w:hint="eastAsia" w:ascii="等线" w:hAnsi="等线" w:eastAsia="等线" w:cs="等线"/>
          <w:spacing w:val="-5"/>
          <w:sz w:val="24"/>
          <w:szCs w:val="24"/>
          <w:lang w:eastAsia="zh-CN"/>
        </w:rPr>
        <w:t>华鼎</w:t>
      </w:r>
      <w:r>
        <w:rPr>
          <w:rFonts w:hint="eastAsia" w:ascii="等线" w:hAnsi="等线" w:eastAsia="等线" w:cs="等线"/>
          <w:spacing w:val="-5"/>
          <w:sz w:val="24"/>
          <w:szCs w:val="24"/>
        </w:rPr>
        <w:t>将安排在初次认证审查后或第一次监督审查结束后的 9-12 个月内完成第一年与第二年的监督审查。</w:t>
      </w:r>
    </w:p>
    <w:p w14:paraId="49FED051">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5.6.2 在证书有效期间，如发生以下情形时，在正常例行监督审查的间隔期间可考虑增加审查频次或专项审查：</w:t>
      </w:r>
    </w:p>
    <w:p w14:paraId="0F957758">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a) 获证组织发生严重的事故、媒体曝光或顾客投诉， 经查实为获证组织责任的；</w:t>
      </w:r>
    </w:p>
    <w:p w14:paraId="2CC56BD4">
      <w:pPr>
        <w:spacing w:before="318" w:line="219" w:lineRule="auto"/>
        <w:ind w:left="437"/>
        <w:rPr>
          <w:rFonts w:hint="eastAsia" w:ascii="等线" w:hAnsi="等线" w:eastAsia="等线" w:cs="等线"/>
          <w:spacing w:val="-1"/>
          <w:sz w:val="24"/>
          <w:szCs w:val="24"/>
        </w:rPr>
      </w:pPr>
      <w:r>
        <w:rPr>
          <w:rFonts w:hint="eastAsia" w:ascii="等线" w:hAnsi="等线" w:eastAsia="等线" w:cs="等线"/>
          <w:spacing w:val="-5"/>
          <w:sz w:val="24"/>
          <w:szCs w:val="24"/>
        </w:rPr>
        <w:t>b) 获证组织发生重大变更时， 包括法人、组织机构、有关职能、服务资源等；</w:t>
      </w:r>
    </w:p>
    <w:p w14:paraId="72BBA2E0">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c) 认证依据发生变化时；</w:t>
      </w:r>
    </w:p>
    <w:p w14:paraId="42EA02A8">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d) 相关方对获证组织进行多次投诉；</w:t>
      </w:r>
    </w:p>
    <w:p w14:paraId="0BF95B09">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e) 发生其他特殊情况时。</w:t>
      </w:r>
    </w:p>
    <w:p w14:paraId="23938C5B">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5.6.3 监督审查至少包括以下内容：</w:t>
      </w:r>
    </w:p>
    <w:p w14:paraId="198E6F7C">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a) 在监督周期内批发零售业/售后服务体系的任何变更，包括组织机构变更、</w:t>
      </w:r>
    </w:p>
    <w:p w14:paraId="60F0F3D4">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体系文件修改、主要负责人更换、服务场所范围的变化情况；</w:t>
      </w:r>
    </w:p>
    <w:p w14:paraId="40393806">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b) 组织的内部监督审查活动及改进的效果；</w:t>
      </w:r>
    </w:p>
    <w:p w14:paraId="1E7DD2F6">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c) 组织代表性区域和活动；</w:t>
      </w:r>
    </w:p>
    <w:p w14:paraId="69BB910D">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d) 相关方/顾客的投诉、申诉、争议的处理，确认组织采取纠正及纠正措施</w:t>
      </w:r>
    </w:p>
    <w:p w14:paraId="661E5D5C">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的有效性以及重大投诉对认证保持的影响；</w:t>
      </w:r>
    </w:p>
    <w:p w14:paraId="6D52B4D7">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e) 认证证书、标志的使用。</w:t>
      </w:r>
    </w:p>
    <w:p w14:paraId="2781D0B6">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5.6.4 监督审查人日数及费用</w:t>
      </w:r>
    </w:p>
    <w:p w14:paraId="7E55F9D9">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通常，监督现场审查时间人日约为初始认证现场审查人日的三分之一。特殊情况下，可以合理的增加审查时间，理由应充分。监督审查费用根据审查人日数核算，监督费用包括审核费、年金（含标志使用费）。</w:t>
      </w:r>
    </w:p>
    <w:p w14:paraId="58120989">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具体费用详见</w:t>
      </w:r>
      <w:r>
        <w:rPr>
          <w:rFonts w:hint="eastAsia" w:ascii="等线" w:hAnsi="等线" w:eastAsia="等线" w:cs="等线"/>
          <w:spacing w:val="-5"/>
          <w:sz w:val="24"/>
          <w:szCs w:val="24"/>
          <w:highlight w:val="yellow"/>
        </w:rPr>
        <w:t>《服务认证收费管理规定》</w:t>
      </w:r>
      <w:r>
        <w:rPr>
          <w:rFonts w:hint="eastAsia" w:ascii="等线" w:hAnsi="等线" w:eastAsia="等线" w:cs="等线"/>
          <w:spacing w:val="-5"/>
          <w:sz w:val="24"/>
          <w:szCs w:val="24"/>
        </w:rPr>
        <w:t>、《现场审查人日数核算表》。</w:t>
      </w:r>
    </w:p>
    <w:p w14:paraId="54114639">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5.6.5 监督审查的实施</w:t>
      </w:r>
    </w:p>
    <w:p w14:paraId="127E3ABC">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lang w:eastAsia="zh-CN"/>
        </w:rPr>
        <w:t>华鼎</w:t>
      </w:r>
      <w:r>
        <w:rPr>
          <w:rFonts w:hint="eastAsia" w:ascii="等线" w:hAnsi="等线" w:eastAsia="等线" w:cs="等线"/>
          <w:spacing w:val="-5"/>
          <w:sz w:val="24"/>
          <w:szCs w:val="24"/>
        </w:rPr>
        <w:t>按照审查方案，委派审查组对获证客户实施现场监督审查。审查后，审查组将填写《服务测评检查表》，形成审查结论，编写审查报告。</w:t>
      </w:r>
    </w:p>
    <w:p w14:paraId="1F2FCCA3">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5.6.6 监督审查结果的批准</w:t>
      </w:r>
    </w:p>
    <w:p w14:paraId="7F8EAABF">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lang w:eastAsia="zh-CN"/>
        </w:rPr>
        <w:t>华鼎</w:t>
      </w:r>
      <w:r>
        <w:rPr>
          <w:rFonts w:hint="eastAsia" w:ascii="等线" w:hAnsi="等线" w:eastAsia="等线" w:cs="等线"/>
          <w:spacing w:val="-5"/>
          <w:sz w:val="24"/>
          <w:szCs w:val="24"/>
        </w:rPr>
        <w:t xml:space="preserve">认证评定人员对监督审查的结果进行审定，审定为合格者， </w:t>
      </w:r>
      <w:r>
        <w:rPr>
          <w:rFonts w:hint="eastAsia" w:ascii="等线" w:hAnsi="等线" w:eastAsia="等线" w:cs="等线"/>
          <w:spacing w:val="-5"/>
          <w:sz w:val="24"/>
          <w:szCs w:val="24"/>
          <w:lang w:val="en-US" w:eastAsia="zh-CN"/>
        </w:rPr>
        <w:t>公司</w:t>
      </w:r>
      <w:r>
        <w:rPr>
          <w:rFonts w:hint="eastAsia" w:ascii="等线" w:hAnsi="等线" w:eastAsia="等线" w:cs="等线"/>
          <w:spacing w:val="-5"/>
          <w:sz w:val="24"/>
          <w:szCs w:val="24"/>
        </w:rPr>
        <w:t>将批准其继续保持认证资格、使用认证标志。如果审定不通过，将暂停证书并要求获证组织停止使用认证证书和认证标志； 暂停期内再次实施监督审查， 通过后恢复证书， 若不通过将撤销证书。</w:t>
      </w:r>
    </w:p>
    <w:p w14:paraId="7726B9AB">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监督审查得分低于规定分数时，对于已获五星级证书的组织将撤销其五星级证书。</w:t>
      </w:r>
    </w:p>
    <w:p w14:paraId="72D15C87">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5.7 再认证</w:t>
      </w:r>
    </w:p>
    <w:p w14:paraId="760CFE7D">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5.7.1 服务认证证书有效期三年，若获证组织申请继续持有认证证书，则应在认证证书有效期满前三个月向</w:t>
      </w:r>
      <w:r>
        <w:rPr>
          <w:rFonts w:hint="eastAsia" w:ascii="等线" w:hAnsi="等线" w:eastAsia="等线" w:cs="等线"/>
          <w:spacing w:val="-5"/>
          <w:sz w:val="24"/>
          <w:szCs w:val="24"/>
          <w:lang w:eastAsia="zh-CN"/>
        </w:rPr>
        <w:t>华鼎</w:t>
      </w:r>
      <w:r>
        <w:rPr>
          <w:rFonts w:hint="eastAsia" w:ascii="等线" w:hAnsi="等线" w:eastAsia="等线" w:cs="等线"/>
          <w:spacing w:val="-5"/>
          <w:sz w:val="24"/>
          <w:szCs w:val="24"/>
        </w:rPr>
        <w:t>提出再认证申请，并提交相关资料。</w:t>
      </w:r>
    </w:p>
    <w:p w14:paraId="22CAF5F8">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5.7.2 当获证组织服务体系及内部和外部环境发生重大变化时，再认证审查可能需要文件审查过程。再认证现场审查时间约为初始认证现场审查人日的三分之二。特殊情况下，可增加人日数，增加理由应充分。</w:t>
      </w:r>
    </w:p>
    <w:p w14:paraId="2B4966F7">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rPr>
        <w:t>5.8 认证的终止、扩大或缩小、暂停或撤销</w:t>
      </w:r>
    </w:p>
    <w:p w14:paraId="00073186">
      <w:pPr>
        <w:spacing w:before="318" w:line="219" w:lineRule="auto"/>
        <w:ind w:left="437" w:firstLine="460" w:firstLineChars="200"/>
        <w:rPr>
          <w:rFonts w:hint="eastAsia" w:ascii="等线" w:hAnsi="等线" w:eastAsia="等线" w:cs="等线"/>
          <w:spacing w:val="-5"/>
          <w:sz w:val="24"/>
          <w:szCs w:val="24"/>
        </w:rPr>
      </w:pPr>
      <w:r>
        <w:rPr>
          <w:rFonts w:hint="eastAsia" w:ascii="等线" w:hAnsi="等线" w:eastAsia="等线" w:cs="等线"/>
          <w:spacing w:val="-5"/>
          <w:sz w:val="24"/>
          <w:szCs w:val="24"/>
          <w:lang w:eastAsia="zh-CN"/>
        </w:rPr>
        <w:t>华鼎</w:t>
      </w:r>
      <w:r>
        <w:rPr>
          <w:rFonts w:hint="eastAsia" w:ascii="等线" w:hAnsi="等线" w:eastAsia="等线" w:cs="等线"/>
          <w:spacing w:val="-5"/>
          <w:sz w:val="24"/>
          <w:szCs w:val="24"/>
        </w:rPr>
        <w:t>已制定《</w:t>
      </w:r>
      <w:r>
        <w:rPr>
          <w:rFonts w:hint="eastAsia" w:ascii="等线" w:hAnsi="等线" w:eastAsia="等线" w:cs="等线"/>
          <w:spacing w:val="-5"/>
          <w:sz w:val="24"/>
          <w:szCs w:val="24"/>
          <w:lang w:val="en-US" w:eastAsia="zh-CN"/>
        </w:rPr>
        <w:t>认证的批准、拒绝、保持、扩大、缩小、暂停、恢复和撤销的条件和程序要求</w:t>
      </w:r>
      <w:r>
        <w:rPr>
          <w:rFonts w:hint="eastAsia" w:ascii="等线" w:hAnsi="等线" w:eastAsia="等线" w:cs="等线"/>
          <w:spacing w:val="-5"/>
          <w:sz w:val="24"/>
          <w:szCs w:val="24"/>
        </w:rPr>
        <w:t>》</w:t>
      </w:r>
      <w:r>
        <w:rPr>
          <w:rFonts w:hint="eastAsia" w:ascii="等线" w:hAnsi="等线" w:eastAsia="等线" w:cs="等线"/>
          <w:spacing w:val="-5"/>
          <w:sz w:val="24"/>
          <w:szCs w:val="24"/>
          <w:lang w:eastAsia="zh-CN"/>
        </w:rPr>
        <w:t>（</w:t>
      </w:r>
      <w:r>
        <w:rPr>
          <w:rFonts w:hint="eastAsia" w:ascii="等线" w:hAnsi="等线" w:eastAsia="等线" w:cs="等线"/>
          <w:spacing w:val="-5"/>
          <w:sz w:val="24"/>
          <w:szCs w:val="24"/>
          <w:lang w:val="en-US" w:eastAsia="zh-CN"/>
        </w:rPr>
        <w:t>附件二）</w:t>
      </w:r>
      <w:r>
        <w:rPr>
          <w:rFonts w:hint="eastAsia" w:ascii="等线" w:hAnsi="等线" w:eastAsia="等线" w:cs="等线"/>
          <w:spacing w:val="-5"/>
          <w:sz w:val="24"/>
          <w:szCs w:val="24"/>
        </w:rPr>
        <w:t>，规定了认证的授予、保持、终止、扩大或缩小、暂停或撤销等相关要求。</w:t>
      </w:r>
    </w:p>
    <w:p w14:paraId="19509CD7">
      <w:pPr>
        <w:spacing w:before="318" w:line="219" w:lineRule="auto"/>
        <w:ind w:left="437"/>
        <w:rPr>
          <w:rFonts w:hint="eastAsia" w:ascii="等线" w:hAnsi="等线" w:eastAsia="等线" w:cs="等线"/>
          <w:spacing w:val="-5"/>
          <w:sz w:val="24"/>
          <w:szCs w:val="24"/>
        </w:rPr>
      </w:pPr>
      <w:r>
        <w:rPr>
          <w:rFonts w:hint="eastAsia" w:ascii="等线" w:hAnsi="等线" w:eastAsia="等线" w:cs="等线"/>
          <w:spacing w:val="-5"/>
          <w:sz w:val="24"/>
          <w:szCs w:val="24"/>
          <w:lang w:val="en-US" w:eastAsia="zh-CN"/>
        </w:rPr>
        <w:t>6</w:t>
      </w:r>
      <w:r>
        <w:rPr>
          <w:rFonts w:hint="eastAsia" w:ascii="等线" w:hAnsi="等线" w:eastAsia="等线" w:cs="等线"/>
          <w:spacing w:val="-5"/>
          <w:sz w:val="24"/>
          <w:szCs w:val="24"/>
        </w:rPr>
        <w:t xml:space="preserve">  收费</w:t>
      </w:r>
      <w:r>
        <w:rPr>
          <w:rFonts w:hint="eastAsia" w:ascii="等线" w:hAnsi="等线" w:eastAsia="等线" w:cs="等线"/>
          <w:spacing w:val="-5"/>
          <w:sz w:val="24"/>
          <w:szCs w:val="24"/>
          <w:lang w:val="en-US" w:eastAsia="zh-CN"/>
        </w:rPr>
        <w:t xml:space="preserve">        </w:t>
      </w:r>
      <w:r>
        <w:rPr>
          <w:rFonts w:hint="eastAsia" w:ascii="等线" w:hAnsi="等线" w:eastAsia="等线" w:cs="等线"/>
          <w:spacing w:val="-5"/>
          <w:sz w:val="24"/>
          <w:szCs w:val="24"/>
        </w:rPr>
        <w:t>按照</w:t>
      </w:r>
      <w:r>
        <w:rPr>
          <w:rFonts w:hint="eastAsia" w:ascii="等线" w:hAnsi="等线" w:eastAsia="等线" w:cs="等线"/>
          <w:spacing w:val="-5"/>
          <w:sz w:val="24"/>
          <w:szCs w:val="24"/>
          <w:lang w:eastAsia="zh-CN"/>
        </w:rPr>
        <w:t>华鼎</w:t>
      </w:r>
      <w:r>
        <w:rPr>
          <w:rFonts w:hint="eastAsia" w:ascii="等线" w:hAnsi="等线" w:eastAsia="等线" w:cs="等线"/>
          <w:spacing w:val="-5"/>
          <w:sz w:val="24"/>
          <w:szCs w:val="24"/>
        </w:rPr>
        <w:t>《服务认证收费管理规定》</w:t>
      </w:r>
      <w:r>
        <w:rPr>
          <w:rFonts w:hint="eastAsia" w:ascii="等线" w:hAnsi="等线" w:eastAsia="等线" w:cs="等线"/>
          <w:spacing w:val="-5"/>
          <w:sz w:val="24"/>
          <w:szCs w:val="24"/>
          <w:lang w:eastAsia="zh-CN"/>
        </w:rPr>
        <w:t>（</w:t>
      </w:r>
      <w:r>
        <w:rPr>
          <w:rFonts w:hint="eastAsia" w:ascii="等线" w:hAnsi="等线" w:eastAsia="等线" w:cs="等线"/>
          <w:spacing w:val="-5"/>
          <w:sz w:val="24"/>
          <w:szCs w:val="24"/>
          <w:lang w:val="en-US" w:eastAsia="zh-CN"/>
        </w:rPr>
        <w:t>附件3）</w:t>
      </w:r>
      <w:r>
        <w:rPr>
          <w:rFonts w:hint="eastAsia" w:ascii="等线" w:hAnsi="等线" w:eastAsia="等线" w:cs="等线"/>
          <w:spacing w:val="-5"/>
          <w:sz w:val="24"/>
          <w:szCs w:val="24"/>
        </w:rPr>
        <w:t>收取认证费用。</w:t>
      </w:r>
    </w:p>
    <w:p w14:paraId="341A224E">
      <w:pPr>
        <w:spacing w:before="273" w:line="220" w:lineRule="auto"/>
        <w:ind w:left="440"/>
        <w:rPr>
          <w:rFonts w:ascii="宋体" w:hAnsi="宋体" w:eastAsia="宋体" w:cs="宋体"/>
          <w:spacing w:val="-2"/>
          <w:sz w:val="28"/>
          <w:szCs w:val="28"/>
        </w:rPr>
      </w:pPr>
    </w:p>
    <w:p w14:paraId="4696EC0F">
      <w:pPr>
        <w:rPr>
          <w:rFonts w:hint="eastAsia" w:ascii="宋体" w:hAnsi="宋体" w:eastAsia="宋体" w:cs="宋体"/>
          <w:spacing w:val="-2"/>
          <w:sz w:val="28"/>
          <w:szCs w:val="28"/>
          <w:lang w:val="en-US" w:eastAsia="zh-CN"/>
        </w:rPr>
      </w:pPr>
      <w:r>
        <w:rPr>
          <w:rFonts w:hint="eastAsia" w:ascii="宋体" w:hAnsi="宋体" w:eastAsia="宋体" w:cs="宋体"/>
          <w:spacing w:val="-2"/>
          <w:sz w:val="28"/>
          <w:szCs w:val="28"/>
          <w:lang w:val="en-US" w:eastAsia="zh-CN"/>
        </w:rPr>
        <w:br w:type="page"/>
      </w:r>
    </w:p>
    <w:p w14:paraId="30F39A36">
      <w:pPr>
        <w:spacing w:before="1" w:after="27"/>
        <w:ind w:left="932" w:right="693" w:firstLine="0"/>
        <w:jc w:val="both"/>
        <w:rPr>
          <w:rFonts w:hint="eastAsia" w:ascii="宋体" w:hAnsi="宋体" w:eastAsia="宋体" w:cs="宋体"/>
          <w:spacing w:val="-2"/>
          <w:sz w:val="28"/>
          <w:szCs w:val="28"/>
          <w:lang w:val="en-US" w:eastAsia="zh-CN"/>
        </w:rPr>
      </w:pPr>
      <w:r>
        <w:rPr>
          <w:rFonts w:hint="eastAsia" w:ascii="宋体" w:hAnsi="宋体" w:eastAsia="宋体" w:cs="宋体"/>
          <w:spacing w:val="-2"/>
          <w:sz w:val="28"/>
          <w:szCs w:val="28"/>
          <w:lang w:val="en-US" w:eastAsia="zh-CN"/>
        </w:rPr>
        <w:t>附件1：</w:t>
      </w:r>
    </w:p>
    <w:p w14:paraId="07026249">
      <w:pPr>
        <w:spacing w:before="1" w:after="27"/>
        <w:ind w:left="932" w:right="693" w:firstLine="0"/>
        <w:jc w:val="center"/>
        <w:rPr>
          <w:b/>
          <w:sz w:val="24"/>
          <w:szCs w:val="24"/>
        </w:rPr>
      </w:pPr>
      <w:r>
        <w:rPr>
          <w:b/>
          <w:sz w:val="24"/>
          <w:szCs w:val="24"/>
        </w:rPr>
        <w:t>现场审查人日核算表</w:t>
      </w:r>
    </w:p>
    <w:tbl>
      <w:tblPr>
        <w:tblStyle w:val="6"/>
        <w:tblW w:w="0" w:type="auto"/>
        <w:tblInd w:w="73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34"/>
        <w:gridCol w:w="1018"/>
        <w:gridCol w:w="1278"/>
        <w:gridCol w:w="1102"/>
        <w:gridCol w:w="1132"/>
        <w:gridCol w:w="1135"/>
        <w:gridCol w:w="1313"/>
      </w:tblGrid>
      <w:tr w14:paraId="64F5EFAA">
        <w:trPr>
          <w:trHeight w:val="417" w:hRule="atLeast"/>
        </w:trPr>
        <w:tc>
          <w:tcPr>
            <w:tcW w:w="1634" w:type="dxa"/>
            <w:vMerge w:val="restart"/>
            <w:noWrap w:val="0"/>
            <w:vAlign w:val="top"/>
          </w:tcPr>
          <w:p w14:paraId="555A21CC">
            <w:pPr>
              <w:pStyle w:val="11"/>
              <w:jc w:val="left"/>
              <w:rPr>
                <w:rFonts w:ascii="宋体"/>
                <w:b/>
                <w:sz w:val="24"/>
                <w:szCs w:val="24"/>
              </w:rPr>
            </w:pPr>
          </w:p>
          <w:p w14:paraId="4C86CA0F">
            <w:pPr>
              <w:pStyle w:val="11"/>
              <w:jc w:val="left"/>
              <w:rPr>
                <w:rFonts w:ascii="宋体"/>
                <w:b/>
                <w:sz w:val="24"/>
                <w:szCs w:val="24"/>
              </w:rPr>
            </w:pPr>
          </w:p>
          <w:p w14:paraId="4A3D4C3A">
            <w:pPr>
              <w:pStyle w:val="11"/>
              <w:ind w:left="107"/>
              <w:jc w:val="left"/>
              <w:rPr>
                <w:sz w:val="24"/>
                <w:szCs w:val="24"/>
              </w:rPr>
            </w:pPr>
            <w:r>
              <w:rPr>
                <w:sz w:val="24"/>
                <w:szCs w:val="24"/>
              </w:rPr>
              <w:t>体系人员数</w:t>
            </w:r>
          </w:p>
        </w:tc>
        <w:tc>
          <w:tcPr>
            <w:tcW w:w="2296" w:type="dxa"/>
            <w:gridSpan w:val="2"/>
            <w:noWrap w:val="0"/>
            <w:vAlign w:val="top"/>
          </w:tcPr>
          <w:p w14:paraId="226BDF2F">
            <w:pPr>
              <w:pStyle w:val="11"/>
              <w:spacing w:before="52"/>
              <w:ind w:left="598"/>
              <w:jc w:val="left"/>
              <w:rPr>
                <w:sz w:val="24"/>
                <w:szCs w:val="24"/>
              </w:rPr>
            </w:pPr>
            <w:r>
              <w:rPr>
                <w:sz w:val="24"/>
                <w:szCs w:val="24"/>
              </w:rPr>
              <w:t>初次审查</w:t>
            </w:r>
          </w:p>
        </w:tc>
        <w:tc>
          <w:tcPr>
            <w:tcW w:w="2234" w:type="dxa"/>
            <w:gridSpan w:val="2"/>
            <w:noWrap w:val="0"/>
            <w:vAlign w:val="top"/>
          </w:tcPr>
          <w:p w14:paraId="560B36C7">
            <w:pPr>
              <w:pStyle w:val="11"/>
              <w:spacing w:before="52"/>
              <w:ind w:left="708"/>
              <w:jc w:val="left"/>
              <w:rPr>
                <w:sz w:val="24"/>
                <w:szCs w:val="24"/>
              </w:rPr>
            </w:pPr>
            <w:r>
              <w:rPr>
                <w:sz w:val="24"/>
                <w:szCs w:val="24"/>
              </w:rPr>
              <w:t>监督审查</w:t>
            </w:r>
          </w:p>
        </w:tc>
        <w:tc>
          <w:tcPr>
            <w:tcW w:w="2448" w:type="dxa"/>
            <w:gridSpan w:val="2"/>
            <w:noWrap w:val="0"/>
            <w:vAlign w:val="top"/>
          </w:tcPr>
          <w:p w14:paraId="310F5F7C">
            <w:pPr>
              <w:pStyle w:val="11"/>
              <w:spacing w:before="52"/>
              <w:ind w:left="621"/>
              <w:jc w:val="left"/>
              <w:rPr>
                <w:sz w:val="24"/>
                <w:szCs w:val="24"/>
              </w:rPr>
            </w:pPr>
            <w:r>
              <w:rPr>
                <w:sz w:val="24"/>
                <w:szCs w:val="24"/>
              </w:rPr>
              <w:t>再认证审查</w:t>
            </w:r>
          </w:p>
        </w:tc>
      </w:tr>
      <w:tr w14:paraId="770393ED">
        <w:trPr>
          <w:trHeight w:val="933" w:hRule="atLeast"/>
        </w:trPr>
        <w:tc>
          <w:tcPr>
            <w:tcW w:w="1634" w:type="dxa"/>
            <w:vMerge w:val="continue"/>
            <w:tcBorders>
              <w:top w:val="nil"/>
            </w:tcBorders>
            <w:noWrap w:val="0"/>
            <w:vAlign w:val="top"/>
          </w:tcPr>
          <w:p w14:paraId="1E475A95">
            <w:pPr>
              <w:rPr>
                <w:sz w:val="24"/>
                <w:szCs w:val="24"/>
              </w:rPr>
            </w:pPr>
          </w:p>
        </w:tc>
        <w:tc>
          <w:tcPr>
            <w:tcW w:w="1018" w:type="dxa"/>
            <w:noWrap w:val="0"/>
            <w:vAlign w:val="top"/>
          </w:tcPr>
          <w:p w14:paraId="3404E872">
            <w:pPr>
              <w:pStyle w:val="11"/>
              <w:spacing w:line="307" w:lineRule="exact"/>
              <w:ind w:left="268"/>
              <w:jc w:val="left"/>
              <w:rPr>
                <w:sz w:val="24"/>
                <w:szCs w:val="24"/>
              </w:rPr>
            </w:pPr>
            <w:r>
              <w:rPr>
                <w:sz w:val="24"/>
                <w:szCs w:val="24"/>
              </w:rPr>
              <w:t>审查</w:t>
            </w:r>
          </w:p>
          <w:p w14:paraId="4B6E42CD">
            <w:pPr>
              <w:pStyle w:val="11"/>
              <w:spacing w:before="2" w:line="310" w:lineRule="atLeast"/>
              <w:ind w:left="268" w:right="257"/>
              <w:jc w:val="left"/>
              <w:rPr>
                <w:sz w:val="24"/>
                <w:szCs w:val="24"/>
              </w:rPr>
            </w:pPr>
            <w:r>
              <w:rPr>
                <w:sz w:val="24"/>
                <w:szCs w:val="24"/>
              </w:rPr>
              <w:t>（</w:t>
            </w:r>
            <w:r>
              <w:rPr>
                <w:spacing w:val="-17"/>
                <w:sz w:val="24"/>
                <w:szCs w:val="24"/>
              </w:rPr>
              <w:t>人</w:t>
            </w:r>
            <w:r>
              <w:rPr>
                <w:sz w:val="24"/>
                <w:szCs w:val="24"/>
              </w:rPr>
              <w:t>日</w:t>
            </w:r>
            <w:r>
              <w:rPr>
                <w:spacing w:val="-17"/>
                <w:sz w:val="24"/>
                <w:szCs w:val="24"/>
              </w:rPr>
              <w:t>）</w:t>
            </w:r>
          </w:p>
        </w:tc>
        <w:tc>
          <w:tcPr>
            <w:tcW w:w="1278" w:type="dxa"/>
            <w:noWrap w:val="0"/>
            <w:vAlign w:val="top"/>
          </w:tcPr>
          <w:p w14:paraId="724E2EC3">
            <w:pPr>
              <w:pStyle w:val="11"/>
              <w:spacing w:line="242" w:lineRule="auto"/>
              <w:ind w:left="211" w:right="193"/>
              <w:rPr>
                <w:sz w:val="24"/>
                <w:szCs w:val="24"/>
              </w:rPr>
            </w:pPr>
            <w:r>
              <w:rPr>
                <w:spacing w:val="-6"/>
                <w:sz w:val="24"/>
                <w:szCs w:val="24"/>
              </w:rPr>
              <w:t>现场审</w:t>
            </w:r>
            <w:r>
              <w:rPr>
                <w:sz w:val="24"/>
                <w:szCs w:val="24"/>
              </w:rPr>
              <w:t>查（</w:t>
            </w:r>
            <w:r>
              <w:rPr>
                <w:spacing w:val="-17"/>
                <w:sz w:val="24"/>
                <w:szCs w:val="24"/>
              </w:rPr>
              <w:t>人</w:t>
            </w:r>
          </w:p>
          <w:p w14:paraId="4CF32EB4">
            <w:pPr>
              <w:pStyle w:val="11"/>
              <w:spacing w:before="2" w:line="289" w:lineRule="exact"/>
              <w:ind w:left="209" w:right="193"/>
              <w:rPr>
                <w:sz w:val="24"/>
                <w:szCs w:val="24"/>
              </w:rPr>
            </w:pPr>
            <w:r>
              <w:rPr>
                <w:sz w:val="24"/>
                <w:szCs w:val="24"/>
              </w:rPr>
              <w:t>日）</w:t>
            </w:r>
          </w:p>
        </w:tc>
        <w:tc>
          <w:tcPr>
            <w:tcW w:w="1102" w:type="dxa"/>
            <w:noWrap w:val="0"/>
            <w:vAlign w:val="top"/>
          </w:tcPr>
          <w:p w14:paraId="62F6177A">
            <w:pPr>
              <w:pStyle w:val="11"/>
              <w:spacing w:before="156"/>
              <w:ind w:left="122" w:right="110"/>
              <w:rPr>
                <w:sz w:val="24"/>
                <w:szCs w:val="24"/>
              </w:rPr>
            </w:pPr>
            <w:r>
              <w:rPr>
                <w:sz w:val="24"/>
                <w:szCs w:val="24"/>
              </w:rPr>
              <w:t>审查</w:t>
            </w:r>
          </w:p>
          <w:p w14:paraId="1C866BFC">
            <w:pPr>
              <w:pStyle w:val="11"/>
              <w:spacing w:before="4"/>
              <w:ind w:left="122" w:right="110"/>
              <w:rPr>
                <w:sz w:val="24"/>
                <w:szCs w:val="24"/>
              </w:rPr>
            </w:pPr>
            <w:r>
              <w:rPr>
                <w:sz w:val="24"/>
                <w:szCs w:val="24"/>
              </w:rPr>
              <w:t>（人日）</w:t>
            </w:r>
          </w:p>
        </w:tc>
        <w:tc>
          <w:tcPr>
            <w:tcW w:w="1132" w:type="dxa"/>
            <w:noWrap w:val="0"/>
            <w:vAlign w:val="top"/>
          </w:tcPr>
          <w:p w14:paraId="3DCF302A">
            <w:pPr>
              <w:pStyle w:val="11"/>
              <w:spacing w:line="242" w:lineRule="auto"/>
              <w:ind w:left="207" w:right="192"/>
              <w:rPr>
                <w:sz w:val="24"/>
                <w:szCs w:val="24"/>
              </w:rPr>
            </w:pPr>
            <w:r>
              <w:rPr>
                <w:spacing w:val="-6"/>
                <w:sz w:val="24"/>
                <w:szCs w:val="24"/>
              </w:rPr>
              <w:t>现场审</w:t>
            </w:r>
            <w:r>
              <w:rPr>
                <w:sz w:val="24"/>
                <w:szCs w:val="24"/>
              </w:rPr>
              <w:t>查（</w:t>
            </w:r>
            <w:r>
              <w:rPr>
                <w:spacing w:val="-17"/>
                <w:sz w:val="24"/>
                <w:szCs w:val="24"/>
              </w:rPr>
              <w:t>人</w:t>
            </w:r>
          </w:p>
          <w:p w14:paraId="0DF3C381">
            <w:pPr>
              <w:pStyle w:val="11"/>
              <w:spacing w:before="2" w:line="289" w:lineRule="exact"/>
              <w:ind w:left="205" w:right="192"/>
              <w:rPr>
                <w:sz w:val="24"/>
                <w:szCs w:val="24"/>
              </w:rPr>
            </w:pPr>
            <w:r>
              <w:rPr>
                <w:sz w:val="24"/>
                <w:szCs w:val="24"/>
              </w:rPr>
              <w:t>日）</w:t>
            </w:r>
          </w:p>
        </w:tc>
        <w:tc>
          <w:tcPr>
            <w:tcW w:w="1135" w:type="dxa"/>
            <w:noWrap w:val="0"/>
            <w:vAlign w:val="top"/>
          </w:tcPr>
          <w:p w14:paraId="25067F60">
            <w:pPr>
              <w:pStyle w:val="11"/>
              <w:spacing w:before="156"/>
              <w:ind w:left="49" w:right="32"/>
              <w:rPr>
                <w:sz w:val="24"/>
                <w:szCs w:val="24"/>
              </w:rPr>
            </w:pPr>
            <w:r>
              <w:rPr>
                <w:sz w:val="24"/>
                <w:szCs w:val="24"/>
              </w:rPr>
              <w:t>审查</w:t>
            </w:r>
          </w:p>
          <w:p w14:paraId="6F9E5227">
            <w:pPr>
              <w:pStyle w:val="11"/>
              <w:spacing w:before="4"/>
              <w:ind w:left="92" w:right="32"/>
              <w:rPr>
                <w:sz w:val="24"/>
                <w:szCs w:val="24"/>
              </w:rPr>
            </w:pPr>
            <w:r>
              <w:rPr>
                <w:sz w:val="24"/>
                <w:szCs w:val="24"/>
              </w:rPr>
              <w:t>（人日）</w:t>
            </w:r>
          </w:p>
        </w:tc>
        <w:tc>
          <w:tcPr>
            <w:tcW w:w="1313" w:type="dxa"/>
            <w:noWrap w:val="0"/>
            <w:vAlign w:val="top"/>
          </w:tcPr>
          <w:p w14:paraId="652246E8">
            <w:pPr>
              <w:pStyle w:val="11"/>
              <w:spacing w:before="156"/>
              <w:ind w:left="173"/>
              <w:jc w:val="left"/>
              <w:rPr>
                <w:sz w:val="24"/>
                <w:szCs w:val="24"/>
              </w:rPr>
            </w:pPr>
            <w:r>
              <w:rPr>
                <w:sz w:val="24"/>
                <w:szCs w:val="24"/>
              </w:rPr>
              <w:t>现场审查</w:t>
            </w:r>
          </w:p>
          <w:p w14:paraId="23EA9C38">
            <w:pPr>
              <w:pStyle w:val="11"/>
              <w:spacing w:before="4"/>
              <w:ind w:left="173"/>
              <w:jc w:val="left"/>
              <w:rPr>
                <w:sz w:val="24"/>
                <w:szCs w:val="24"/>
              </w:rPr>
            </w:pPr>
            <w:r>
              <w:rPr>
                <w:sz w:val="24"/>
                <w:szCs w:val="24"/>
              </w:rPr>
              <w:t>（人日）</w:t>
            </w:r>
          </w:p>
        </w:tc>
      </w:tr>
      <w:tr w14:paraId="36A1F5AC">
        <w:trPr>
          <w:trHeight w:val="448" w:hRule="atLeast"/>
        </w:trPr>
        <w:tc>
          <w:tcPr>
            <w:tcW w:w="1634" w:type="dxa"/>
            <w:noWrap w:val="0"/>
            <w:vAlign w:val="top"/>
          </w:tcPr>
          <w:p w14:paraId="7FA7F968">
            <w:pPr>
              <w:pStyle w:val="11"/>
              <w:spacing w:before="69"/>
              <w:ind w:left="135" w:right="128"/>
              <w:rPr>
                <w:sz w:val="24"/>
                <w:szCs w:val="24"/>
                <w:highlight w:val="yellow"/>
              </w:rPr>
            </w:pPr>
            <w:r>
              <w:rPr>
                <w:sz w:val="24"/>
                <w:szCs w:val="24"/>
                <w:highlight w:val="yellow"/>
              </w:rPr>
              <w:t>1～50人</w:t>
            </w:r>
          </w:p>
        </w:tc>
        <w:tc>
          <w:tcPr>
            <w:tcW w:w="1018" w:type="dxa"/>
            <w:noWrap w:val="0"/>
            <w:vAlign w:val="top"/>
          </w:tcPr>
          <w:p w14:paraId="3ADB19AD">
            <w:pPr>
              <w:pStyle w:val="11"/>
              <w:spacing w:before="69"/>
              <w:ind w:right="437"/>
              <w:jc w:val="right"/>
              <w:rPr>
                <w:rFonts w:hint="default" w:eastAsia="楷体"/>
                <w:sz w:val="24"/>
                <w:szCs w:val="24"/>
                <w:highlight w:val="yellow"/>
                <w:lang w:val="en-US" w:eastAsia="zh-CN"/>
              </w:rPr>
            </w:pPr>
            <w:r>
              <w:rPr>
                <w:sz w:val="24"/>
                <w:szCs w:val="24"/>
                <w:highlight w:val="yellow"/>
              </w:rPr>
              <w:t>2</w:t>
            </w:r>
            <w:r>
              <w:rPr>
                <w:rFonts w:hint="eastAsia"/>
                <w:sz w:val="24"/>
                <w:szCs w:val="24"/>
                <w:highlight w:val="yellow"/>
                <w:lang w:val="en-US" w:eastAsia="zh-CN"/>
              </w:rPr>
              <w:t>.5</w:t>
            </w:r>
          </w:p>
        </w:tc>
        <w:tc>
          <w:tcPr>
            <w:tcW w:w="1278" w:type="dxa"/>
            <w:noWrap w:val="0"/>
            <w:vAlign w:val="top"/>
          </w:tcPr>
          <w:p w14:paraId="5A24F274">
            <w:pPr>
              <w:pStyle w:val="11"/>
              <w:spacing w:before="69"/>
              <w:ind w:right="493"/>
              <w:jc w:val="right"/>
              <w:rPr>
                <w:rFonts w:hint="eastAsia" w:eastAsia="楷体"/>
                <w:sz w:val="24"/>
                <w:szCs w:val="24"/>
                <w:highlight w:val="yellow"/>
                <w:lang w:val="en-US" w:eastAsia="zh-CN"/>
              </w:rPr>
            </w:pPr>
            <w:r>
              <w:rPr>
                <w:rFonts w:hint="eastAsia"/>
                <w:sz w:val="24"/>
                <w:szCs w:val="24"/>
                <w:highlight w:val="yellow"/>
                <w:lang w:val="en-US" w:eastAsia="zh-CN"/>
              </w:rPr>
              <w:t>2</w:t>
            </w:r>
          </w:p>
        </w:tc>
        <w:tc>
          <w:tcPr>
            <w:tcW w:w="1102" w:type="dxa"/>
            <w:noWrap w:val="0"/>
            <w:vAlign w:val="top"/>
          </w:tcPr>
          <w:p w14:paraId="1EBB1922">
            <w:pPr>
              <w:pStyle w:val="11"/>
              <w:spacing w:before="69"/>
              <w:ind w:left="122" w:right="110"/>
              <w:rPr>
                <w:sz w:val="24"/>
                <w:szCs w:val="24"/>
                <w:highlight w:val="yellow"/>
              </w:rPr>
            </w:pPr>
            <w:r>
              <w:rPr>
                <w:sz w:val="24"/>
                <w:szCs w:val="24"/>
                <w:highlight w:val="yellow"/>
              </w:rPr>
              <w:t>1.5</w:t>
            </w:r>
          </w:p>
        </w:tc>
        <w:tc>
          <w:tcPr>
            <w:tcW w:w="1132" w:type="dxa"/>
            <w:noWrap w:val="0"/>
            <w:vAlign w:val="top"/>
          </w:tcPr>
          <w:p w14:paraId="17F56C53">
            <w:pPr>
              <w:pStyle w:val="11"/>
              <w:spacing w:before="69"/>
              <w:ind w:left="13"/>
              <w:rPr>
                <w:sz w:val="24"/>
                <w:szCs w:val="24"/>
                <w:highlight w:val="yellow"/>
              </w:rPr>
            </w:pPr>
            <w:r>
              <w:rPr>
                <w:sz w:val="24"/>
                <w:szCs w:val="24"/>
                <w:highlight w:val="yellow"/>
              </w:rPr>
              <w:t>1</w:t>
            </w:r>
          </w:p>
        </w:tc>
        <w:tc>
          <w:tcPr>
            <w:tcW w:w="1135" w:type="dxa"/>
            <w:noWrap w:val="0"/>
            <w:vAlign w:val="top"/>
          </w:tcPr>
          <w:p w14:paraId="089024CF">
            <w:pPr>
              <w:pStyle w:val="11"/>
              <w:spacing w:before="69"/>
              <w:ind w:left="17"/>
              <w:rPr>
                <w:rFonts w:hint="eastAsia" w:eastAsia="楷体"/>
                <w:sz w:val="24"/>
                <w:szCs w:val="24"/>
                <w:highlight w:val="yellow"/>
                <w:lang w:val="en-US" w:eastAsia="zh-CN"/>
              </w:rPr>
            </w:pPr>
            <w:r>
              <w:rPr>
                <w:rFonts w:hint="eastAsia"/>
                <w:sz w:val="24"/>
                <w:szCs w:val="24"/>
                <w:highlight w:val="yellow"/>
                <w:lang w:val="en-US" w:eastAsia="zh-CN"/>
              </w:rPr>
              <w:t>2</w:t>
            </w:r>
          </w:p>
        </w:tc>
        <w:tc>
          <w:tcPr>
            <w:tcW w:w="1313" w:type="dxa"/>
            <w:noWrap w:val="0"/>
            <w:vAlign w:val="top"/>
          </w:tcPr>
          <w:p w14:paraId="598A0259">
            <w:pPr>
              <w:pStyle w:val="11"/>
              <w:spacing w:before="69"/>
              <w:ind w:left="453" w:right="436"/>
              <w:rPr>
                <w:rFonts w:hint="default" w:eastAsia="楷体"/>
                <w:sz w:val="24"/>
                <w:szCs w:val="24"/>
                <w:highlight w:val="yellow"/>
                <w:lang w:val="en-US" w:eastAsia="zh-CN"/>
              </w:rPr>
            </w:pPr>
            <w:r>
              <w:rPr>
                <w:sz w:val="24"/>
                <w:szCs w:val="24"/>
                <w:highlight w:val="yellow"/>
              </w:rPr>
              <w:t>1</w:t>
            </w:r>
            <w:r>
              <w:rPr>
                <w:rFonts w:hint="eastAsia"/>
                <w:sz w:val="24"/>
                <w:szCs w:val="24"/>
                <w:highlight w:val="yellow"/>
                <w:lang w:val="en-US" w:eastAsia="zh-CN"/>
              </w:rPr>
              <w:t>.5</w:t>
            </w:r>
          </w:p>
        </w:tc>
      </w:tr>
      <w:tr w14:paraId="3EE0184B">
        <w:trPr>
          <w:trHeight w:val="410" w:hRule="atLeast"/>
        </w:trPr>
        <w:tc>
          <w:tcPr>
            <w:tcW w:w="1634" w:type="dxa"/>
            <w:noWrap w:val="0"/>
            <w:vAlign w:val="top"/>
          </w:tcPr>
          <w:p w14:paraId="3B9586E2">
            <w:pPr>
              <w:pStyle w:val="11"/>
              <w:spacing w:before="50"/>
              <w:ind w:left="135" w:right="128"/>
              <w:rPr>
                <w:sz w:val="24"/>
                <w:szCs w:val="24"/>
                <w:highlight w:val="yellow"/>
              </w:rPr>
            </w:pPr>
            <w:r>
              <w:rPr>
                <w:sz w:val="24"/>
                <w:szCs w:val="24"/>
                <w:highlight w:val="yellow"/>
              </w:rPr>
              <w:t>51～100人</w:t>
            </w:r>
          </w:p>
        </w:tc>
        <w:tc>
          <w:tcPr>
            <w:tcW w:w="1018" w:type="dxa"/>
            <w:noWrap w:val="0"/>
            <w:vAlign w:val="top"/>
          </w:tcPr>
          <w:p w14:paraId="1BE8CCAC">
            <w:pPr>
              <w:pStyle w:val="11"/>
              <w:spacing w:before="50"/>
              <w:ind w:right="437"/>
              <w:jc w:val="right"/>
              <w:rPr>
                <w:sz w:val="24"/>
                <w:szCs w:val="24"/>
                <w:highlight w:val="yellow"/>
              </w:rPr>
            </w:pPr>
            <w:r>
              <w:rPr>
                <w:sz w:val="24"/>
                <w:szCs w:val="24"/>
                <w:highlight w:val="yellow"/>
              </w:rPr>
              <w:t>3</w:t>
            </w:r>
          </w:p>
        </w:tc>
        <w:tc>
          <w:tcPr>
            <w:tcW w:w="1278" w:type="dxa"/>
            <w:noWrap w:val="0"/>
            <w:vAlign w:val="top"/>
          </w:tcPr>
          <w:p w14:paraId="4FD0BE3D">
            <w:pPr>
              <w:pStyle w:val="11"/>
              <w:spacing w:before="50"/>
              <w:ind w:right="493"/>
              <w:jc w:val="right"/>
              <w:rPr>
                <w:rFonts w:hint="default" w:eastAsia="楷体"/>
                <w:sz w:val="24"/>
                <w:szCs w:val="24"/>
                <w:highlight w:val="yellow"/>
                <w:lang w:val="en-US" w:eastAsia="zh-CN"/>
              </w:rPr>
            </w:pPr>
            <w:r>
              <w:rPr>
                <w:sz w:val="24"/>
                <w:szCs w:val="24"/>
                <w:highlight w:val="yellow"/>
              </w:rPr>
              <w:t>2</w:t>
            </w:r>
            <w:r>
              <w:rPr>
                <w:rFonts w:hint="eastAsia"/>
                <w:sz w:val="24"/>
                <w:szCs w:val="24"/>
                <w:highlight w:val="yellow"/>
                <w:lang w:val="en-US" w:eastAsia="zh-CN"/>
              </w:rPr>
              <w:t>.5</w:t>
            </w:r>
          </w:p>
        </w:tc>
        <w:tc>
          <w:tcPr>
            <w:tcW w:w="1102" w:type="dxa"/>
            <w:noWrap w:val="0"/>
            <w:vAlign w:val="top"/>
          </w:tcPr>
          <w:p w14:paraId="46E100A9">
            <w:pPr>
              <w:pStyle w:val="11"/>
              <w:spacing w:before="50"/>
              <w:ind w:left="122" w:right="110"/>
              <w:rPr>
                <w:rFonts w:hint="default" w:eastAsia="楷体"/>
                <w:sz w:val="24"/>
                <w:szCs w:val="24"/>
                <w:highlight w:val="yellow"/>
                <w:lang w:val="en-US" w:eastAsia="zh-CN"/>
              </w:rPr>
            </w:pPr>
            <w:r>
              <w:rPr>
                <w:rFonts w:hint="eastAsia"/>
                <w:sz w:val="24"/>
                <w:szCs w:val="24"/>
                <w:highlight w:val="yellow"/>
                <w:lang w:val="en-US" w:eastAsia="zh-CN"/>
              </w:rPr>
              <w:t>1.5</w:t>
            </w:r>
          </w:p>
        </w:tc>
        <w:tc>
          <w:tcPr>
            <w:tcW w:w="1132" w:type="dxa"/>
            <w:noWrap w:val="0"/>
            <w:vAlign w:val="top"/>
          </w:tcPr>
          <w:p w14:paraId="6EB0DF27">
            <w:pPr>
              <w:pStyle w:val="11"/>
              <w:spacing w:before="50"/>
              <w:ind w:left="13"/>
              <w:rPr>
                <w:rFonts w:hint="eastAsia" w:eastAsia="楷体"/>
                <w:sz w:val="24"/>
                <w:szCs w:val="24"/>
                <w:highlight w:val="yellow"/>
                <w:lang w:val="en-US" w:eastAsia="zh-CN"/>
              </w:rPr>
            </w:pPr>
            <w:r>
              <w:rPr>
                <w:rFonts w:hint="eastAsia"/>
                <w:sz w:val="24"/>
                <w:szCs w:val="24"/>
                <w:highlight w:val="yellow"/>
                <w:lang w:val="en-US" w:eastAsia="zh-CN"/>
              </w:rPr>
              <w:t>1</w:t>
            </w:r>
          </w:p>
        </w:tc>
        <w:tc>
          <w:tcPr>
            <w:tcW w:w="1135" w:type="dxa"/>
            <w:noWrap w:val="0"/>
            <w:vAlign w:val="top"/>
          </w:tcPr>
          <w:p w14:paraId="1B1763C1">
            <w:pPr>
              <w:pStyle w:val="11"/>
              <w:spacing w:before="50"/>
              <w:ind w:left="17"/>
              <w:rPr>
                <w:rFonts w:hint="default" w:eastAsia="楷体"/>
                <w:sz w:val="24"/>
                <w:szCs w:val="24"/>
                <w:highlight w:val="yellow"/>
                <w:lang w:val="en-US" w:eastAsia="zh-CN"/>
              </w:rPr>
            </w:pPr>
            <w:r>
              <w:rPr>
                <w:sz w:val="24"/>
                <w:szCs w:val="24"/>
                <w:highlight w:val="yellow"/>
              </w:rPr>
              <w:t>2</w:t>
            </w:r>
          </w:p>
        </w:tc>
        <w:tc>
          <w:tcPr>
            <w:tcW w:w="1313" w:type="dxa"/>
            <w:noWrap w:val="0"/>
            <w:vAlign w:val="top"/>
          </w:tcPr>
          <w:p w14:paraId="4C539E99">
            <w:pPr>
              <w:pStyle w:val="11"/>
              <w:spacing w:before="50"/>
              <w:ind w:left="453" w:right="436"/>
              <w:rPr>
                <w:rFonts w:hint="default" w:eastAsia="楷体"/>
                <w:sz w:val="24"/>
                <w:szCs w:val="24"/>
                <w:highlight w:val="yellow"/>
                <w:lang w:val="en-US" w:eastAsia="zh-CN"/>
              </w:rPr>
            </w:pPr>
            <w:r>
              <w:rPr>
                <w:rFonts w:hint="eastAsia"/>
                <w:sz w:val="24"/>
                <w:szCs w:val="24"/>
                <w:highlight w:val="yellow"/>
                <w:lang w:val="en-US" w:eastAsia="zh-CN"/>
              </w:rPr>
              <w:t>1.5</w:t>
            </w:r>
          </w:p>
        </w:tc>
      </w:tr>
      <w:tr w14:paraId="2FAFDE4D">
        <w:trPr>
          <w:trHeight w:val="417" w:hRule="atLeast"/>
        </w:trPr>
        <w:tc>
          <w:tcPr>
            <w:tcW w:w="1634" w:type="dxa"/>
            <w:noWrap w:val="0"/>
            <w:vAlign w:val="top"/>
          </w:tcPr>
          <w:p w14:paraId="74685656">
            <w:pPr>
              <w:pStyle w:val="11"/>
              <w:spacing w:before="52"/>
              <w:ind w:left="135" w:right="128"/>
              <w:rPr>
                <w:sz w:val="24"/>
                <w:szCs w:val="24"/>
                <w:highlight w:val="yellow"/>
              </w:rPr>
            </w:pPr>
            <w:r>
              <w:rPr>
                <w:sz w:val="24"/>
                <w:szCs w:val="24"/>
                <w:highlight w:val="yellow"/>
              </w:rPr>
              <w:t>101～150人</w:t>
            </w:r>
          </w:p>
        </w:tc>
        <w:tc>
          <w:tcPr>
            <w:tcW w:w="1018" w:type="dxa"/>
            <w:noWrap w:val="0"/>
            <w:vAlign w:val="top"/>
          </w:tcPr>
          <w:p w14:paraId="14B3380A">
            <w:pPr>
              <w:pStyle w:val="11"/>
              <w:spacing w:before="52"/>
              <w:ind w:right="437"/>
              <w:jc w:val="right"/>
              <w:rPr>
                <w:sz w:val="24"/>
                <w:szCs w:val="24"/>
                <w:highlight w:val="yellow"/>
              </w:rPr>
            </w:pPr>
            <w:r>
              <w:rPr>
                <w:sz w:val="24"/>
                <w:szCs w:val="24"/>
                <w:highlight w:val="yellow"/>
              </w:rPr>
              <w:t>4</w:t>
            </w:r>
          </w:p>
        </w:tc>
        <w:tc>
          <w:tcPr>
            <w:tcW w:w="1278" w:type="dxa"/>
            <w:noWrap w:val="0"/>
            <w:vAlign w:val="top"/>
          </w:tcPr>
          <w:p w14:paraId="5138F764">
            <w:pPr>
              <w:pStyle w:val="11"/>
              <w:spacing w:before="52"/>
              <w:ind w:right="493"/>
              <w:jc w:val="right"/>
              <w:rPr>
                <w:sz w:val="24"/>
                <w:szCs w:val="24"/>
                <w:highlight w:val="yellow"/>
              </w:rPr>
            </w:pPr>
            <w:r>
              <w:rPr>
                <w:sz w:val="24"/>
                <w:szCs w:val="24"/>
                <w:highlight w:val="yellow"/>
              </w:rPr>
              <w:t>3</w:t>
            </w:r>
          </w:p>
        </w:tc>
        <w:tc>
          <w:tcPr>
            <w:tcW w:w="1102" w:type="dxa"/>
            <w:noWrap w:val="0"/>
            <w:vAlign w:val="top"/>
          </w:tcPr>
          <w:p w14:paraId="2320B729">
            <w:pPr>
              <w:pStyle w:val="11"/>
              <w:spacing w:before="52"/>
              <w:ind w:left="12"/>
              <w:rPr>
                <w:rFonts w:hint="default" w:eastAsia="楷体"/>
                <w:sz w:val="24"/>
                <w:szCs w:val="24"/>
                <w:highlight w:val="yellow"/>
                <w:lang w:val="en-US" w:eastAsia="zh-CN"/>
              </w:rPr>
            </w:pPr>
            <w:r>
              <w:rPr>
                <w:rFonts w:hint="eastAsia"/>
                <w:sz w:val="24"/>
                <w:szCs w:val="24"/>
                <w:highlight w:val="yellow"/>
                <w:lang w:val="en-US" w:eastAsia="zh-CN"/>
              </w:rPr>
              <w:t>1.5</w:t>
            </w:r>
          </w:p>
        </w:tc>
        <w:tc>
          <w:tcPr>
            <w:tcW w:w="1132" w:type="dxa"/>
            <w:noWrap w:val="0"/>
            <w:vAlign w:val="top"/>
          </w:tcPr>
          <w:p w14:paraId="3E58EB23">
            <w:pPr>
              <w:pStyle w:val="11"/>
              <w:spacing w:before="52"/>
              <w:ind w:left="205" w:right="192"/>
              <w:rPr>
                <w:rFonts w:hint="eastAsia" w:eastAsia="楷体"/>
                <w:sz w:val="24"/>
                <w:szCs w:val="24"/>
                <w:highlight w:val="yellow"/>
                <w:lang w:eastAsia="zh-CN"/>
              </w:rPr>
            </w:pPr>
            <w:r>
              <w:rPr>
                <w:rFonts w:hint="eastAsia"/>
                <w:sz w:val="24"/>
                <w:szCs w:val="24"/>
                <w:highlight w:val="yellow"/>
                <w:lang w:val="en-US" w:eastAsia="zh-CN"/>
              </w:rPr>
              <w:t>1</w:t>
            </w:r>
          </w:p>
        </w:tc>
        <w:tc>
          <w:tcPr>
            <w:tcW w:w="1135" w:type="dxa"/>
            <w:noWrap w:val="0"/>
            <w:vAlign w:val="top"/>
          </w:tcPr>
          <w:p w14:paraId="01AE6723">
            <w:pPr>
              <w:pStyle w:val="11"/>
              <w:spacing w:before="52"/>
              <w:ind w:left="49" w:right="32"/>
              <w:rPr>
                <w:rFonts w:hint="default" w:eastAsia="楷体"/>
                <w:sz w:val="24"/>
                <w:szCs w:val="24"/>
                <w:highlight w:val="yellow"/>
                <w:lang w:val="en-US" w:eastAsia="zh-CN"/>
              </w:rPr>
            </w:pPr>
            <w:r>
              <w:rPr>
                <w:rFonts w:hint="eastAsia"/>
                <w:sz w:val="24"/>
                <w:szCs w:val="24"/>
                <w:highlight w:val="yellow"/>
                <w:lang w:val="en-US" w:eastAsia="zh-CN"/>
              </w:rPr>
              <w:t>2.5</w:t>
            </w:r>
          </w:p>
        </w:tc>
        <w:tc>
          <w:tcPr>
            <w:tcW w:w="1313" w:type="dxa"/>
            <w:noWrap w:val="0"/>
            <w:vAlign w:val="top"/>
          </w:tcPr>
          <w:p w14:paraId="6222A367">
            <w:pPr>
              <w:pStyle w:val="11"/>
              <w:spacing w:before="52"/>
              <w:ind w:left="17"/>
              <w:rPr>
                <w:rFonts w:hint="eastAsia" w:eastAsia="楷体"/>
                <w:sz w:val="24"/>
                <w:szCs w:val="24"/>
                <w:highlight w:val="yellow"/>
                <w:lang w:val="en-US" w:eastAsia="zh-CN"/>
              </w:rPr>
            </w:pPr>
            <w:r>
              <w:rPr>
                <w:rFonts w:hint="eastAsia"/>
                <w:sz w:val="24"/>
                <w:szCs w:val="24"/>
                <w:highlight w:val="yellow"/>
                <w:lang w:val="en-US" w:eastAsia="zh-CN"/>
              </w:rPr>
              <w:t>2</w:t>
            </w:r>
          </w:p>
        </w:tc>
      </w:tr>
      <w:tr w14:paraId="53FED8A3">
        <w:trPr>
          <w:trHeight w:val="390" w:hRule="atLeast"/>
        </w:trPr>
        <w:tc>
          <w:tcPr>
            <w:tcW w:w="1634" w:type="dxa"/>
            <w:noWrap w:val="0"/>
            <w:vAlign w:val="top"/>
          </w:tcPr>
          <w:p w14:paraId="040A26B7">
            <w:pPr>
              <w:pStyle w:val="11"/>
              <w:spacing w:before="40"/>
              <w:ind w:left="135" w:right="128"/>
              <w:rPr>
                <w:sz w:val="24"/>
                <w:szCs w:val="24"/>
                <w:highlight w:val="yellow"/>
              </w:rPr>
            </w:pPr>
            <w:r>
              <w:rPr>
                <w:sz w:val="24"/>
                <w:szCs w:val="24"/>
                <w:highlight w:val="yellow"/>
              </w:rPr>
              <w:t>151～200人</w:t>
            </w:r>
          </w:p>
        </w:tc>
        <w:tc>
          <w:tcPr>
            <w:tcW w:w="1018" w:type="dxa"/>
            <w:noWrap w:val="0"/>
            <w:vAlign w:val="top"/>
          </w:tcPr>
          <w:p w14:paraId="1A186D02">
            <w:pPr>
              <w:pStyle w:val="11"/>
              <w:spacing w:before="40"/>
              <w:ind w:right="437"/>
              <w:jc w:val="right"/>
              <w:rPr>
                <w:sz w:val="24"/>
                <w:szCs w:val="24"/>
                <w:highlight w:val="yellow"/>
              </w:rPr>
            </w:pPr>
            <w:r>
              <w:rPr>
                <w:sz w:val="24"/>
                <w:szCs w:val="24"/>
                <w:highlight w:val="yellow"/>
              </w:rPr>
              <w:t>5</w:t>
            </w:r>
          </w:p>
        </w:tc>
        <w:tc>
          <w:tcPr>
            <w:tcW w:w="1278" w:type="dxa"/>
            <w:noWrap w:val="0"/>
            <w:vAlign w:val="top"/>
          </w:tcPr>
          <w:p w14:paraId="75EC6BBF">
            <w:pPr>
              <w:pStyle w:val="11"/>
              <w:spacing w:before="40"/>
              <w:ind w:right="493"/>
              <w:jc w:val="right"/>
              <w:rPr>
                <w:sz w:val="24"/>
                <w:szCs w:val="24"/>
                <w:highlight w:val="yellow"/>
              </w:rPr>
            </w:pPr>
            <w:r>
              <w:rPr>
                <w:sz w:val="24"/>
                <w:szCs w:val="24"/>
                <w:highlight w:val="yellow"/>
              </w:rPr>
              <w:t>4</w:t>
            </w:r>
          </w:p>
        </w:tc>
        <w:tc>
          <w:tcPr>
            <w:tcW w:w="1102" w:type="dxa"/>
            <w:noWrap w:val="0"/>
            <w:vAlign w:val="top"/>
          </w:tcPr>
          <w:p w14:paraId="66FF8831">
            <w:pPr>
              <w:pStyle w:val="11"/>
              <w:spacing w:before="40"/>
              <w:ind w:left="12"/>
              <w:rPr>
                <w:sz w:val="24"/>
                <w:szCs w:val="24"/>
                <w:highlight w:val="yellow"/>
              </w:rPr>
            </w:pPr>
            <w:r>
              <w:rPr>
                <w:sz w:val="24"/>
                <w:szCs w:val="24"/>
                <w:highlight w:val="yellow"/>
              </w:rPr>
              <w:t>2</w:t>
            </w:r>
          </w:p>
        </w:tc>
        <w:tc>
          <w:tcPr>
            <w:tcW w:w="1132" w:type="dxa"/>
            <w:noWrap w:val="0"/>
            <w:vAlign w:val="top"/>
          </w:tcPr>
          <w:p w14:paraId="22C2A3F7">
            <w:pPr>
              <w:pStyle w:val="11"/>
              <w:spacing w:before="40"/>
              <w:ind w:left="205" w:right="192"/>
              <w:rPr>
                <w:sz w:val="24"/>
                <w:szCs w:val="24"/>
                <w:highlight w:val="yellow"/>
              </w:rPr>
            </w:pPr>
            <w:r>
              <w:rPr>
                <w:sz w:val="24"/>
                <w:szCs w:val="24"/>
                <w:highlight w:val="yellow"/>
              </w:rPr>
              <w:t>1.5</w:t>
            </w:r>
          </w:p>
        </w:tc>
        <w:tc>
          <w:tcPr>
            <w:tcW w:w="1135" w:type="dxa"/>
            <w:noWrap w:val="0"/>
            <w:vAlign w:val="top"/>
          </w:tcPr>
          <w:p w14:paraId="1363ECD7">
            <w:pPr>
              <w:pStyle w:val="11"/>
              <w:spacing w:before="40"/>
              <w:ind w:left="17"/>
              <w:rPr>
                <w:sz w:val="24"/>
                <w:szCs w:val="24"/>
                <w:highlight w:val="yellow"/>
              </w:rPr>
            </w:pPr>
            <w:r>
              <w:rPr>
                <w:sz w:val="24"/>
                <w:szCs w:val="24"/>
                <w:highlight w:val="yellow"/>
              </w:rPr>
              <w:t>3</w:t>
            </w:r>
          </w:p>
        </w:tc>
        <w:tc>
          <w:tcPr>
            <w:tcW w:w="1313" w:type="dxa"/>
            <w:noWrap w:val="0"/>
            <w:vAlign w:val="top"/>
          </w:tcPr>
          <w:p w14:paraId="23434BAE">
            <w:pPr>
              <w:pStyle w:val="11"/>
              <w:spacing w:before="40"/>
              <w:ind w:left="453" w:right="436"/>
              <w:rPr>
                <w:rFonts w:hint="default" w:eastAsia="楷体"/>
                <w:sz w:val="24"/>
                <w:szCs w:val="24"/>
                <w:highlight w:val="yellow"/>
                <w:lang w:val="en-US" w:eastAsia="zh-CN"/>
              </w:rPr>
            </w:pPr>
            <w:r>
              <w:rPr>
                <w:rFonts w:hint="eastAsia"/>
                <w:sz w:val="24"/>
                <w:szCs w:val="24"/>
                <w:highlight w:val="yellow"/>
                <w:lang w:val="en-US" w:eastAsia="zh-CN"/>
              </w:rPr>
              <w:t>2.5</w:t>
            </w:r>
          </w:p>
        </w:tc>
      </w:tr>
      <w:tr w14:paraId="02DE434F">
        <w:trPr>
          <w:trHeight w:val="414" w:hRule="atLeast"/>
        </w:trPr>
        <w:tc>
          <w:tcPr>
            <w:tcW w:w="1634" w:type="dxa"/>
            <w:noWrap w:val="0"/>
            <w:vAlign w:val="top"/>
          </w:tcPr>
          <w:p w14:paraId="716682E0">
            <w:pPr>
              <w:pStyle w:val="11"/>
              <w:spacing w:before="52"/>
              <w:ind w:left="135" w:right="128"/>
              <w:rPr>
                <w:sz w:val="24"/>
                <w:szCs w:val="24"/>
                <w:highlight w:val="yellow"/>
              </w:rPr>
            </w:pPr>
            <w:r>
              <w:rPr>
                <w:sz w:val="24"/>
                <w:szCs w:val="24"/>
                <w:highlight w:val="yellow"/>
              </w:rPr>
              <w:t>201～300人</w:t>
            </w:r>
          </w:p>
        </w:tc>
        <w:tc>
          <w:tcPr>
            <w:tcW w:w="1018" w:type="dxa"/>
            <w:noWrap w:val="0"/>
            <w:vAlign w:val="top"/>
          </w:tcPr>
          <w:p w14:paraId="4E0DBC26">
            <w:pPr>
              <w:pStyle w:val="11"/>
              <w:spacing w:before="52"/>
              <w:ind w:right="437"/>
              <w:jc w:val="right"/>
              <w:rPr>
                <w:sz w:val="24"/>
                <w:szCs w:val="24"/>
                <w:highlight w:val="yellow"/>
              </w:rPr>
            </w:pPr>
            <w:r>
              <w:rPr>
                <w:sz w:val="24"/>
                <w:szCs w:val="24"/>
                <w:highlight w:val="yellow"/>
              </w:rPr>
              <w:t>6</w:t>
            </w:r>
          </w:p>
        </w:tc>
        <w:tc>
          <w:tcPr>
            <w:tcW w:w="1278" w:type="dxa"/>
            <w:noWrap w:val="0"/>
            <w:vAlign w:val="top"/>
          </w:tcPr>
          <w:p w14:paraId="6196069C">
            <w:pPr>
              <w:pStyle w:val="11"/>
              <w:spacing w:before="52"/>
              <w:ind w:right="493"/>
              <w:jc w:val="right"/>
              <w:rPr>
                <w:sz w:val="24"/>
                <w:szCs w:val="24"/>
                <w:highlight w:val="yellow"/>
              </w:rPr>
            </w:pPr>
            <w:r>
              <w:rPr>
                <w:sz w:val="24"/>
                <w:szCs w:val="24"/>
                <w:highlight w:val="yellow"/>
              </w:rPr>
              <w:t>5</w:t>
            </w:r>
          </w:p>
        </w:tc>
        <w:tc>
          <w:tcPr>
            <w:tcW w:w="1102" w:type="dxa"/>
            <w:noWrap w:val="0"/>
            <w:vAlign w:val="top"/>
          </w:tcPr>
          <w:p w14:paraId="022B3224">
            <w:pPr>
              <w:pStyle w:val="11"/>
              <w:spacing w:before="52"/>
              <w:ind w:left="122" w:right="110"/>
              <w:rPr>
                <w:sz w:val="24"/>
                <w:szCs w:val="24"/>
                <w:highlight w:val="yellow"/>
              </w:rPr>
            </w:pPr>
            <w:r>
              <w:rPr>
                <w:sz w:val="24"/>
                <w:szCs w:val="24"/>
                <w:highlight w:val="yellow"/>
              </w:rPr>
              <w:t>2.5</w:t>
            </w:r>
          </w:p>
        </w:tc>
        <w:tc>
          <w:tcPr>
            <w:tcW w:w="1132" w:type="dxa"/>
            <w:noWrap w:val="0"/>
            <w:vAlign w:val="top"/>
          </w:tcPr>
          <w:p w14:paraId="4C1EEEFA">
            <w:pPr>
              <w:pStyle w:val="11"/>
              <w:spacing w:before="52"/>
              <w:ind w:left="13"/>
              <w:rPr>
                <w:sz w:val="24"/>
                <w:szCs w:val="24"/>
                <w:highlight w:val="yellow"/>
              </w:rPr>
            </w:pPr>
            <w:r>
              <w:rPr>
                <w:sz w:val="24"/>
                <w:szCs w:val="24"/>
                <w:highlight w:val="yellow"/>
              </w:rPr>
              <w:t>2</w:t>
            </w:r>
          </w:p>
        </w:tc>
        <w:tc>
          <w:tcPr>
            <w:tcW w:w="1135" w:type="dxa"/>
            <w:noWrap w:val="0"/>
            <w:vAlign w:val="top"/>
          </w:tcPr>
          <w:p w14:paraId="764856B0">
            <w:pPr>
              <w:pStyle w:val="11"/>
              <w:spacing w:before="52"/>
              <w:ind w:left="17"/>
              <w:rPr>
                <w:sz w:val="24"/>
                <w:szCs w:val="24"/>
                <w:highlight w:val="yellow"/>
              </w:rPr>
            </w:pPr>
            <w:r>
              <w:rPr>
                <w:sz w:val="24"/>
                <w:szCs w:val="24"/>
                <w:highlight w:val="yellow"/>
              </w:rPr>
              <w:t>4</w:t>
            </w:r>
          </w:p>
        </w:tc>
        <w:tc>
          <w:tcPr>
            <w:tcW w:w="1313" w:type="dxa"/>
            <w:noWrap w:val="0"/>
            <w:vAlign w:val="top"/>
          </w:tcPr>
          <w:p w14:paraId="7A680E2D">
            <w:pPr>
              <w:pStyle w:val="11"/>
              <w:spacing w:before="52"/>
              <w:ind w:left="453" w:right="436"/>
              <w:rPr>
                <w:sz w:val="24"/>
                <w:szCs w:val="24"/>
                <w:highlight w:val="yellow"/>
              </w:rPr>
            </w:pPr>
            <w:r>
              <w:rPr>
                <w:sz w:val="24"/>
                <w:szCs w:val="24"/>
                <w:highlight w:val="yellow"/>
              </w:rPr>
              <w:t>3</w:t>
            </w:r>
          </w:p>
        </w:tc>
      </w:tr>
      <w:tr w14:paraId="7D0B7D25">
        <w:trPr>
          <w:trHeight w:val="367" w:hRule="atLeast"/>
        </w:trPr>
        <w:tc>
          <w:tcPr>
            <w:tcW w:w="1634" w:type="dxa"/>
            <w:noWrap w:val="0"/>
            <w:vAlign w:val="top"/>
          </w:tcPr>
          <w:p w14:paraId="365D9EB4">
            <w:pPr>
              <w:pStyle w:val="11"/>
              <w:spacing w:before="29"/>
              <w:ind w:left="135" w:right="128"/>
              <w:rPr>
                <w:sz w:val="24"/>
                <w:szCs w:val="24"/>
              </w:rPr>
            </w:pPr>
            <w:r>
              <w:rPr>
                <w:sz w:val="24"/>
                <w:szCs w:val="24"/>
              </w:rPr>
              <w:t>301～500人</w:t>
            </w:r>
          </w:p>
        </w:tc>
        <w:tc>
          <w:tcPr>
            <w:tcW w:w="1018" w:type="dxa"/>
            <w:noWrap w:val="0"/>
            <w:vAlign w:val="top"/>
          </w:tcPr>
          <w:p w14:paraId="3AE03BE3">
            <w:pPr>
              <w:pStyle w:val="11"/>
              <w:spacing w:before="29"/>
              <w:ind w:right="437"/>
              <w:jc w:val="right"/>
              <w:rPr>
                <w:sz w:val="24"/>
                <w:szCs w:val="24"/>
              </w:rPr>
            </w:pPr>
            <w:r>
              <w:rPr>
                <w:sz w:val="24"/>
                <w:szCs w:val="24"/>
              </w:rPr>
              <w:t>7</w:t>
            </w:r>
          </w:p>
        </w:tc>
        <w:tc>
          <w:tcPr>
            <w:tcW w:w="1278" w:type="dxa"/>
            <w:noWrap w:val="0"/>
            <w:vAlign w:val="top"/>
          </w:tcPr>
          <w:p w14:paraId="474290FA">
            <w:pPr>
              <w:pStyle w:val="11"/>
              <w:spacing w:before="29"/>
              <w:ind w:right="493"/>
              <w:jc w:val="right"/>
              <w:rPr>
                <w:sz w:val="24"/>
                <w:szCs w:val="24"/>
              </w:rPr>
            </w:pPr>
            <w:r>
              <w:rPr>
                <w:sz w:val="24"/>
                <w:szCs w:val="24"/>
              </w:rPr>
              <w:t>6</w:t>
            </w:r>
          </w:p>
        </w:tc>
        <w:tc>
          <w:tcPr>
            <w:tcW w:w="1102" w:type="dxa"/>
            <w:noWrap w:val="0"/>
            <w:vAlign w:val="top"/>
          </w:tcPr>
          <w:p w14:paraId="191B9F57">
            <w:pPr>
              <w:pStyle w:val="11"/>
              <w:spacing w:before="29"/>
              <w:ind w:left="12"/>
              <w:rPr>
                <w:sz w:val="24"/>
                <w:szCs w:val="24"/>
              </w:rPr>
            </w:pPr>
            <w:r>
              <w:rPr>
                <w:sz w:val="24"/>
                <w:szCs w:val="24"/>
              </w:rPr>
              <w:t>3</w:t>
            </w:r>
          </w:p>
        </w:tc>
        <w:tc>
          <w:tcPr>
            <w:tcW w:w="1132" w:type="dxa"/>
            <w:noWrap w:val="0"/>
            <w:vAlign w:val="top"/>
          </w:tcPr>
          <w:p w14:paraId="16CE2B12">
            <w:pPr>
              <w:pStyle w:val="11"/>
              <w:spacing w:before="29"/>
              <w:ind w:left="205" w:right="192"/>
              <w:rPr>
                <w:sz w:val="24"/>
                <w:szCs w:val="24"/>
              </w:rPr>
            </w:pPr>
            <w:r>
              <w:rPr>
                <w:sz w:val="24"/>
                <w:szCs w:val="24"/>
              </w:rPr>
              <w:t>2.5</w:t>
            </w:r>
          </w:p>
        </w:tc>
        <w:tc>
          <w:tcPr>
            <w:tcW w:w="1135" w:type="dxa"/>
            <w:noWrap w:val="0"/>
            <w:vAlign w:val="top"/>
          </w:tcPr>
          <w:p w14:paraId="3CCE7E59">
            <w:pPr>
              <w:pStyle w:val="11"/>
              <w:spacing w:before="29"/>
              <w:ind w:left="49" w:right="32"/>
              <w:rPr>
                <w:sz w:val="24"/>
                <w:szCs w:val="24"/>
              </w:rPr>
            </w:pPr>
            <w:r>
              <w:rPr>
                <w:sz w:val="24"/>
                <w:szCs w:val="24"/>
              </w:rPr>
              <w:t>4.5</w:t>
            </w:r>
          </w:p>
        </w:tc>
        <w:tc>
          <w:tcPr>
            <w:tcW w:w="1313" w:type="dxa"/>
            <w:noWrap w:val="0"/>
            <w:vAlign w:val="top"/>
          </w:tcPr>
          <w:p w14:paraId="78BEFF63">
            <w:pPr>
              <w:pStyle w:val="11"/>
              <w:spacing w:before="29"/>
              <w:ind w:left="17"/>
              <w:rPr>
                <w:sz w:val="24"/>
                <w:szCs w:val="24"/>
              </w:rPr>
            </w:pPr>
            <w:r>
              <w:rPr>
                <w:sz w:val="24"/>
                <w:szCs w:val="24"/>
              </w:rPr>
              <w:t>3.5</w:t>
            </w:r>
          </w:p>
        </w:tc>
      </w:tr>
      <w:tr w14:paraId="548E985D">
        <w:trPr>
          <w:trHeight w:val="549" w:hRule="atLeast"/>
        </w:trPr>
        <w:tc>
          <w:tcPr>
            <w:tcW w:w="1634" w:type="dxa"/>
            <w:noWrap w:val="0"/>
            <w:vAlign w:val="top"/>
          </w:tcPr>
          <w:p w14:paraId="1156666C">
            <w:pPr>
              <w:pStyle w:val="11"/>
              <w:spacing w:before="120"/>
              <w:ind w:left="135" w:right="128"/>
              <w:rPr>
                <w:sz w:val="24"/>
                <w:szCs w:val="24"/>
              </w:rPr>
            </w:pPr>
            <w:r>
              <w:rPr>
                <w:sz w:val="24"/>
                <w:szCs w:val="24"/>
              </w:rPr>
              <w:t>501～1000人</w:t>
            </w:r>
          </w:p>
        </w:tc>
        <w:tc>
          <w:tcPr>
            <w:tcW w:w="1018" w:type="dxa"/>
            <w:noWrap w:val="0"/>
            <w:vAlign w:val="top"/>
          </w:tcPr>
          <w:p w14:paraId="51A160C9">
            <w:pPr>
              <w:pStyle w:val="11"/>
              <w:spacing w:before="120"/>
              <w:ind w:right="437"/>
              <w:jc w:val="right"/>
              <w:rPr>
                <w:sz w:val="24"/>
                <w:szCs w:val="24"/>
              </w:rPr>
            </w:pPr>
            <w:r>
              <w:rPr>
                <w:sz w:val="24"/>
                <w:szCs w:val="24"/>
              </w:rPr>
              <w:t>8</w:t>
            </w:r>
          </w:p>
        </w:tc>
        <w:tc>
          <w:tcPr>
            <w:tcW w:w="1278" w:type="dxa"/>
            <w:noWrap w:val="0"/>
            <w:vAlign w:val="top"/>
          </w:tcPr>
          <w:p w14:paraId="3466DA32">
            <w:pPr>
              <w:pStyle w:val="11"/>
              <w:spacing w:before="120"/>
              <w:ind w:right="493"/>
              <w:jc w:val="right"/>
              <w:rPr>
                <w:sz w:val="24"/>
                <w:szCs w:val="24"/>
              </w:rPr>
            </w:pPr>
            <w:r>
              <w:rPr>
                <w:sz w:val="24"/>
                <w:szCs w:val="24"/>
              </w:rPr>
              <w:t>7</w:t>
            </w:r>
          </w:p>
        </w:tc>
        <w:tc>
          <w:tcPr>
            <w:tcW w:w="1102" w:type="dxa"/>
            <w:noWrap w:val="0"/>
            <w:vAlign w:val="top"/>
          </w:tcPr>
          <w:p w14:paraId="4E8FE950">
            <w:pPr>
              <w:pStyle w:val="11"/>
              <w:spacing w:before="120"/>
              <w:ind w:left="12"/>
              <w:rPr>
                <w:sz w:val="24"/>
                <w:szCs w:val="24"/>
              </w:rPr>
            </w:pPr>
            <w:r>
              <w:rPr>
                <w:sz w:val="24"/>
                <w:szCs w:val="24"/>
              </w:rPr>
              <w:t>3.5</w:t>
            </w:r>
          </w:p>
        </w:tc>
        <w:tc>
          <w:tcPr>
            <w:tcW w:w="1132" w:type="dxa"/>
            <w:noWrap w:val="0"/>
            <w:vAlign w:val="top"/>
          </w:tcPr>
          <w:p w14:paraId="7B439E50">
            <w:pPr>
              <w:pStyle w:val="11"/>
              <w:spacing w:before="120"/>
              <w:ind w:left="205" w:right="192"/>
              <w:rPr>
                <w:sz w:val="24"/>
                <w:szCs w:val="24"/>
              </w:rPr>
            </w:pPr>
            <w:r>
              <w:rPr>
                <w:sz w:val="24"/>
                <w:szCs w:val="24"/>
              </w:rPr>
              <w:t>2.5</w:t>
            </w:r>
          </w:p>
        </w:tc>
        <w:tc>
          <w:tcPr>
            <w:tcW w:w="1135" w:type="dxa"/>
            <w:noWrap w:val="0"/>
            <w:vAlign w:val="top"/>
          </w:tcPr>
          <w:p w14:paraId="0CE187E7">
            <w:pPr>
              <w:pStyle w:val="11"/>
              <w:spacing w:before="120"/>
              <w:ind w:left="49" w:right="32"/>
              <w:rPr>
                <w:sz w:val="24"/>
                <w:szCs w:val="24"/>
              </w:rPr>
            </w:pPr>
            <w:r>
              <w:rPr>
                <w:sz w:val="24"/>
                <w:szCs w:val="24"/>
              </w:rPr>
              <w:t>5</w:t>
            </w:r>
          </w:p>
        </w:tc>
        <w:tc>
          <w:tcPr>
            <w:tcW w:w="1313" w:type="dxa"/>
            <w:noWrap w:val="0"/>
            <w:vAlign w:val="top"/>
          </w:tcPr>
          <w:p w14:paraId="54F741D5">
            <w:pPr>
              <w:pStyle w:val="11"/>
              <w:spacing w:before="120"/>
              <w:ind w:left="17"/>
              <w:rPr>
                <w:sz w:val="24"/>
                <w:szCs w:val="24"/>
              </w:rPr>
            </w:pPr>
            <w:r>
              <w:rPr>
                <w:sz w:val="24"/>
                <w:szCs w:val="24"/>
              </w:rPr>
              <w:t>4</w:t>
            </w:r>
          </w:p>
        </w:tc>
      </w:tr>
      <w:tr w14:paraId="2DA667A6">
        <w:trPr>
          <w:trHeight w:val="311" w:hRule="atLeast"/>
        </w:trPr>
        <w:tc>
          <w:tcPr>
            <w:tcW w:w="1634" w:type="dxa"/>
            <w:noWrap w:val="0"/>
            <w:vAlign w:val="top"/>
          </w:tcPr>
          <w:p w14:paraId="5008841C">
            <w:pPr>
              <w:pStyle w:val="11"/>
              <w:spacing w:line="292" w:lineRule="exact"/>
              <w:ind w:left="135" w:right="128"/>
              <w:rPr>
                <w:sz w:val="24"/>
                <w:szCs w:val="24"/>
              </w:rPr>
            </w:pPr>
            <w:r>
              <w:rPr>
                <w:sz w:val="24"/>
                <w:szCs w:val="24"/>
              </w:rPr>
              <w:t>1001～1500人</w:t>
            </w:r>
          </w:p>
        </w:tc>
        <w:tc>
          <w:tcPr>
            <w:tcW w:w="1018" w:type="dxa"/>
            <w:noWrap w:val="0"/>
            <w:vAlign w:val="top"/>
          </w:tcPr>
          <w:p w14:paraId="6887DEDA">
            <w:pPr>
              <w:pStyle w:val="11"/>
              <w:spacing w:line="292" w:lineRule="exact"/>
              <w:ind w:right="377"/>
              <w:jc w:val="center"/>
              <w:rPr>
                <w:sz w:val="24"/>
                <w:szCs w:val="24"/>
              </w:rPr>
            </w:pPr>
            <w:r>
              <w:rPr>
                <w:sz w:val="24"/>
                <w:szCs w:val="24"/>
              </w:rPr>
              <w:t xml:space="preserve">   9</w:t>
            </w:r>
          </w:p>
        </w:tc>
        <w:tc>
          <w:tcPr>
            <w:tcW w:w="1278" w:type="dxa"/>
            <w:noWrap w:val="0"/>
            <w:vAlign w:val="top"/>
          </w:tcPr>
          <w:p w14:paraId="7FBC041D">
            <w:pPr>
              <w:pStyle w:val="11"/>
              <w:spacing w:line="292" w:lineRule="exact"/>
              <w:ind w:right="493"/>
              <w:jc w:val="right"/>
              <w:rPr>
                <w:sz w:val="24"/>
                <w:szCs w:val="24"/>
              </w:rPr>
            </w:pPr>
            <w:r>
              <w:rPr>
                <w:sz w:val="24"/>
                <w:szCs w:val="24"/>
              </w:rPr>
              <w:t>8</w:t>
            </w:r>
          </w:p>
        </w:tc>
        <w:tc>
          <w:tcPr>
            <w:tcW w:w="1102" w:type="dxa"/>
            <w:noWrap w:val="0"/>
            <w:vAlign w:val="top"/>
          </w:tcPr>
          <w:p w14:paraId="3C10CB22">
            <w:pPr>
              <w:pStyle w:val="11"/>
              <w:spacing w:line="292" w:lineRule="exact"/>
              <w:ind w:left="122" w:right="110"/>
              <w:rPr>
                <w:sz w:val="24"/>
                <w:szCs w:val="24"/>
              </w:rPr>
            </w:pPr>
            <w:r>
              <w:rPr>
                <w:sz w:val="24"/>
                <w:szCs w:val="24"/>
              </w:rPr>
              <w:t>4</w:t>
            </w:r>
          </w:p>
        </w:tc>
        <w:tc>
          <w:tcPr>
            <w:tcW w:w="1132" w:type="dxa"/>
            <w:noWrap w:val="0"/>
            <w:vAlign w:val="top"/>
          </w:tcPr>
          <w:p w14:paraId="4903901A">
            <w:pPr>
              <w:pStyle w:val="11"/>
              <w:spacing w:line="292" w:lineRule="exact"/>
              <w:ind w:left="13"/>
              <w:rPr>
                <w:sz w:val="24"/>
                <w:szCs w:val="24"/>
              </w:rPr>
            </w:pPr>
            <w:r>
              <w:rPr>
                <w:sz w:val="24"/>
                <w:szCs w:val="24"/>
              </w:rPr>
              <w:t>3</w:t>
            </w:r>
          </w:p>
        </w:tc>
        <w:tc>
          <w:tcPr>
            <w:tcW w:w="1135" w:type="dxa"/>
            <w:noWrap w:val="0"/>
            <w:vAlign w:val="top"/>
          </w:tcPr>
          <w:p w14:paraId="055118B9">
            <w:pPr>
              <w:pStyle w:val="11"/>
              <w:spacing w:line="292" w:lineRule="exact"/>
              <w:ind w:left="17"/>
              <w:rPr>
                <w:sz w:val="24"/>
                <w:szCs w:val="24"/>
              </w:rPr>
            </w:pPr>
            <w:r>
              <w:rPr>
                <w:sz w:val="24"/>
                <w:szCs w:val="24"/>
              </w:rPr>
              <w:t>5.5</w:t>
            </w:r>
          </w:p>
        </w:tc>
        <w:tc>
          <w:tcPr>
            <w:tcW w:w="1313" w:type="dxa"/>
            <w:noWrap w:val="0"/>
            <w:vAlign w:val="top"/>
          </w:tcPr>
          <w:p w14:paraId="6A53714C">
            <w:pPr>
              <w:pStyle w:val="11"/>
              <w:spacing w:line="292" w:lineRule="exact"/>
              <w:ind w:left="453" w:right="436"/>
              <w:rPr>
                <w:sz w:val="24"/>
                <w:szCs w:val="24"/>
              </w:rPr>
            </w:pPr>
            <w:r>
              <w:rPr>
                <w:sz w:val="24"/>
                <w:szCs w:val="24"/>
              </w:rPr>
              <w:t>4.5</w:t>
            </w:r>
          </w:p>
        </w:tc>
      </w:tr>
      <w:tr w14:paraId="20E7F459">
        <w:trPr>
          <w:trHeight w:val="621" w:hRule="atLeast"/>
        </w:trPr>
        <w:tc>
          <w:tcPr>
            <w:tcW w:w="1634" w:type="dxa"/>
            <w:noWrap w:val="0"/>
            <w:vAlign w:val="top"/>
          </w:tcPr>
          <w:p w14:paraId="5248E47F">
            <w:pPr>
              <w:pStyle w:val="11"/>
              <w:spacing w:line="307" w:lineRule="exact"/>
              <w:ind w:left="107"/>
              <w:jc w:val="left"/>
              <w:rPr>
                <w:sz w:val="24"/>
                <w:szCs w:val="24"/>
              </w:rPr>
            </w:pPr>
            <w:r>
              <w:rPr>
                <w:sz w:val="24"/>
                <w:szCs w:val="24"/>
              </w:rPr>
              <w:t>1501 ～ 2000</w:t>
            </w:r>
          </w:p>
          <w:p w14:paraId="3EEBE73A">
            <w:pPr>
              <w:pStyle w:val="11"/>
              <w:spacing w:before="2" w:line="292" w:lineRule="exact"/>
              <w:ind w:left="107"/>
              <w:jc w:val="left"/>
              <w:rPr>
                <w:sz w:val="24"/>
                <w:szCs w:val="24"/>
              </w:rPr>
            </w:pPr>
            <w:r>
              <w:rPr>
                <w:sz w:val="24"/>
                <w:szCs w:val="24"/>
              </w:rPr>
              <w:t>人</w:t>
            </w:r>
          </w:p>
        </w:tc>
        <w:tc>
          <w:tcPr>
            <w:tcW w:w="1018" w:type="dxa"/>
            <w:noWrap w:val="0"/>
            <w:vAlign w:val="top"/>
          </w:tcPr>
          <w:p w14:paraId="1098D815">
            <w:pPr>
              <w:pStyle w:val="11"/>
              <w:spacing w:before="155"/>
              <w:ind w:right="377"/>
              <w:jc w:val="right"/>
              <w:rPr>
                <w:sz w:val="24"/>
                <w:szCs w:val="24"/>
              </w:rPr>
            </w:pPr>
            <w:r>
              <w:rPr>
                <w:sz w:val="24"/>
                <w:szCs w:val="24"/>
              </w:rPr>
              <w:t>10</w:t>
            </w:r>
          </w:p>
        </w:tc>
        <w:tc>
          <w:tcPr>
            <w:tcW w:w="1278" w:type="dxa"/>
            <w:noWrap w:val="0"/>
            <w:vAlign w:val="top"/>
          </w:tcPr>
          <w:p w14:paraId="672B7C31">
            <w:pPr>
              <w:pStyle w:val="11"/>
              <w:spacing w:before="155"/>
              <w:ind w:right="433"/>
              <w:jc w:val="center"/>
              <w:rPr>
                <w:sz w:val="24"/>
                <w:szCs w:val="24"/>
              </w:rPr>
            </w:pPr>
            <w:r>
              <w:rPr>
                <w:sz w:val="24"/>
                <w:szCs w:val="24"/>
              </w:rPr>
              <w:t xml:space="preserve">    9</w:t>
            </w:r>
          </w:p>
        </w:tc>
        <w:tc>
          <w:tcPr>
            <w:tcW w:w="1102" w:type="dxa"/>
            <w:noWrap w:val="0"/>
            <w:vAlign w:val="top"/>
          </w:tcPr>
          <w:p w14:paraId="185975AF">
            <w:pPr>
              <w:pStyle w:val="11"/>
              <w:spacing w:before="155"/>
              <w:ind w:left="122" w:right="110"/>
              <w:rPr>
                <w:sz w:val="24"/>
                <w:szCs w:val="24"/>
              </w:rPr>
            </w:pPr>
            <w:r>
              <w:rPr>
                <w:sz w:val="24"/>
                <w:szCs w:val="24"/>
              </w:rPr>
              <w:t>4.5</w:t>
            </w:r>
          </w:p>
        </w:tc>
        <w:tc>
          <w:tcPr>
            <w:tcW w:w="1132" w:type="dxa"/>
            <w:noWrap w:val="0"/>
            <w:vAlign w:val="top"/>
          </w:tcPr>
          <w:p w14:paraId="3DD3B138">
            <w:pPr>
              <w:pStyle w:val="11"/>
              <w:spacing w:before="155"/>
              <w:ind w:left="205" w:right="192"/>
              <w:rPr>
                <w:sz w:val="24"/>
                <w:szCs w:val="24"/>
              </w:rPr>
            </w:pPr>
            <w:r>
              <w:rPr>
                <w:sz w:val="24"/>
                <w:szCs w:val="24"/>
              </w:rPr>
              <w:t>3.5</w:t>
            </w:r>
          </w:p>
        </w:tc>
        <w:tc>
          <w:tcPr>
            <w:tcW w:w="1135" w:type="dxa"/>
            <w:noWrap w:val="0"/>
            <w:vAlign w:val="top"/>
          </w:tcPr>
          <w:p w14:paraId="41C5078E">
            <w:pPr>
              <w:pStyle w:val="11"/>
              <w:spacing w:before="155"/>
              <w:ind w:left="49" w:right="32"/>
              <w:rPr>
                <w:sz w:val="24"/>
                <w:szCs w:val="24"/>
              </w:rPr>
            </w:pPr>
            <w:r>
              <w:rPr>
                <w:sz w:val="24"/>
                <w:szCs w:val="24"/>
              </w:rPr>
              <w:t>6</w:t>
            </w:r>
          </w:p>
        </w:tc>
        <w:tc>
          <w:tcPr>
            <w:tcW w:w="1313" w:type="dxa"/>
            <w:noWrap w:val="0"/>
            <w:vAlign w:val="top"/>
          </w:tcPr>
          <w:p w14:paraId="0BA436EF">
            <w:pPr>
              <w:pStyle w:val="11"/>
              <w:spacing w:before="155"/>
              <w:ind w:left="17"/>
              <w:rPr>
                <w:sz w:val="24"/>
                <w:szCs w:val="24"/>
              </w:rPr>
            </w:pPr>
            <w:r>
              <w:rPr>
                <w:sz w:val="24"/>
                <w:szCs w:val="24"/>
              </w:rPr>
              <w:t>5</w:t>
            </w:r>
          </w:p>
        </w:tc>
      </w:tr>
      <w:tr w14:paraId="68DB649F">
        <w:trPr>
          <w:trHeight w:val="436" w:hRule="atLeast"/>
        </w:trPr>
        <w:tc>
          <w:tcPr>
            <w:tcW w:w="8612" w:type="dxa"/>
            <w:gridSpan w:val="7"/>
            <w:noWrap w:val="0"/>
            <w:vAlign w:val="top"/>
          </w:tcPr>
          <w:p w14:paraId="01DA714C">
            <w:pPr>
              <w:pStyle w:val="11"/>
              <w:spacing w:before="62"/>
              <w:ind w:left="2841" w:right="2828"/>
              <w:rPr>
                <w:sz w:val="24"/>
                <w:szCs w:val="24"/>
              </w:rPr>
            </w:pPr>
            <w:r>
              <w:rPr>
                <w:sz w:val="24"/>
                <w:szCs w:val="24"/>
              </w:rPr>
              <w:t>2000人以上按照此规律递增</w:t>
            </w:r>
          </w:p>
        </w:tc>
      </w:tr>
    </w:tbl>
    <w:p w14:paraId="7C6BE9CF">
      <w:pPr>
        <w:pStyle w:val="4"/>
        <w:spacing w:before="8"/>
        <w:rPr>
          <w:rFonts w:hint="default"/>
          <w:b/>
          <w:sz w:val="24"/>
          <w:szCs w:val="24"/>
          <w:lang w:val="en-US" w:eastAsia="zh-CN"/>
        </w:rPr>
      </w:pPr>
      <w:r>
        <w:rPr>
          <w:rFonts w:hint="eastAsia"/>
          <w:b/>
          <w:sz w:val="24"/>
          <w:szCs w:val="24"/>
          <w:lang w:val="en-US" w:eastAsia="zh-CN"/>
        </w:rPr>
        <w:t xml:space="preserve">      </w:t>
      </w:r>
    </w:p>
    <w:p w14:paraId="2C848E27">
      <w:pPr>
        <w:spacing w:before="273" w:line="220" w:lineRule="auto"/>
        <w:ind w:left="440"/>
        <w:rPr>
          <w:rFonts w:hint="eastAsia" w:ascii="宋体" w:hAnsi="宋体" w:eastAsia="宋体" w:cs="宋体"/>
          <w:spacing w:val="-2"/>
          <w:sz w:val="28"/>
          <w:szCs w:val="28"/>
          <w:lang w:val="en-US" w:eastAsia="zh-CN"/>
        </w:rPr>
      </w:pPr>
    </w:p>
    <w:p w14:paraId="285C3141">
      <w:pPr>
        <w:pStyle w:val="2"/>
        <w:rPr>
          <w:rFonts w:hint="eastAsia" w:ascii="宋体" w:hAnsi="宋体" w:eastAsia="宋体" w:cs="宋体"/>
          <w:spacing w:val="-2"/>
          <w:sz w:val="28"/>
          <w:szCs w:val="28"/>
          <w:lang w:val="en-US" w:eastAsia="zh-CN"/>
        </w:rPr>
      </w:pPr>
    </w:p>
    <w:p w14:paraId="1EB5EA5A">
      <w:pPr>
        <w:pStyle w:val="2"/>
        <w:rPr>
          <w:rFonts w:hint="eastAsia" w:ascii="宋体" w:hAnsi="宋体" w:eastAsia="宋体" w:cs="宋体"/>
          <w:spacing w:val="-2"/>
          <w:sz w:val="28"/>
          <w:szCs w:val="28"/>
          <w:lang w:val="en-US" w:eastAsia="zh-CN"/>
        </w:rPr>
      </w:pPr>
    </w:p>
    <w:p w14:paraId="567B5C35">
      <w:pPr>
        <w:pStyle w:val="2"/>
        <w:rPr>
          <w:rFonts w:hint="eastAsia" w:ascii="宋体" w:hAnsi="宋体" w:eastAsia="宋体" w:cs="宋体"/>
          <w:spacing w:val="-2"/>
          <w:sz w:val="28"/>
          <w:szCs w:val="28"/>
          <w:lang w:val="en-US" w:eastAsia="zh-CN"/>
        </w:rPr>
      </w:pPr>
    </w:p>
    <w:p w14:paraId="750E765A">
      <w:pPr>
        <w:pStyle w:val="2"/>
        <w:rPr>
          <w:rFonts w:hint="eastAsia" w:ascii="宋体" w:hAnsi="宋体" w:eastAsia="宋体" w:cs="宋体"/>
          <w:spacing w:val="-2"/>
          <w:sz w:val="28"/>
          <w:szCs w:val="28"/>
          <w:lang w:val="en-US" w:eastAsia="zh-CN"/>
        </w:rPr>
      </w:pPr>
    </w:p>
    <w:p w14:paraId="4A108ABF">
      <w:pPr>
        <w:pStyle w:val="2"/>
        <w:rPr>
          <w:rFonts w:hint="eastAsia" w:ascii="宋体" w:hAnsi="宋体" w:eastAsia="宋体" w:cs="宋体"/>
          <w:spacing w:val="-2"/>
          <w:sz w:val="28"/>
          <w:szCs w:val="28"/>
          <w:lang w:val="en-US" w:eastAsia="zh-CN"/>
        </w:rPr>
      </w:pPr>
    </w:p>
    <w:p w14:paraId="7DBEB57E">
      <w:pPr>
        <w:pStyle w:val="2"/>
        <w:rPr>
          <w:rFonts w:hint="eastAsia" w:ascii="宋体" w:hAnsi="宋体" w:eastAsia="宋体" w:cs="宋体"/>
          <w:spacing w:val="-2"/>
          <w:sz w:val="28"/>
          <w:szCs w:val="28"/>
          <w:lang w:val="en-US" w:eastAsia="zh-CN"/>
        </w:rPr>
      </w:pPr>
    </w:p>
    <w:p w14:paraId="4E389BAA">
      <w:pPr>
        <w:pStyle w:val="2"/>
        <w:rPr>
          <w:rFonts w:hint="eastAsia" w:ascii="宋体" w:hAnsi="宋体" w:eastAsia="宋体" w:cs="宋体"/>
          <w:spacing w:val="-2"/>
          <w:sz w:val="28"/>
          <w:szCs w:val="28"/>
          <w:lang w:val="en-US" w:eastAsia="zh-CN"/>
        </w:rPr>
      </w:pPr>
    </w:p>
    <w:p w14:paraId="5EB27C5C">
      <w:pPr>
        <w:pStyle w:val="2"/>
        <w:rPr>
          <w:rFonts w:hint="eastAsia" w:ascii="宋体" w:hAnsi="宋体" w:eastAsia="宋体" w:cs="宋体"/>
          <w:spacing w:val="-2"/>
          <w:sz w:val="28"/>
          <w:szCs w:val="28"/>
          <w:lang w:val="en-US" w:eastAsia="zh-CN"/>
        </w:rPr>
      </w:pPr>
    </w:p>
    <w:p w14:paraId="65A94727">
      <w:pPr>
        <w:pStyle w:val="2"/>
        <w:rPr>
          <w:rFonts w:hint="eastAsia" w:ascii="宋体" w:hAnsi="宋体" w:eastAsia="宋体" w:cs="宋体"/>
          <w:spacing w:val="-2"/>
          <w:sz w:val="28"/>
          <w:szCs w:val="28"/>
          <w:lang w:val="en-US" w:eastAsia="zh-CN"/>
        </w:rPr>
      </w:pPr>
    </w:p>
    <w:p w14:paraId="57773A43">
      <w:pPr>
        <w:pStyle w:val="2"/>
        <w:rPr>
          <w:rFonts w:hint="eastAsia" w:ascii="宋体" w:hAnsi="宋体" w:eastAsia="宋体" w:cs="宋体"/>
          <w:spacing w:val="-2"/>
          <w:sz w:val="28"/>
          <w:szCs w:val="28"/>
          <w:lang w:val="en-US" w:eastAsia="zh-CN"/>
        </w:rPr>
      </w:pPr>
    </w:p>
    <w:p w14:paraId="2AF6624F">
      <w:pPr>
        <w:pStyle w:val="2"/>
        <w:rPr>
          <w:rFonts w:hint="eastAsia" w:ascii="宋体" w:hAnsi="宋体" w:eastAsia="宋体" w:cs="宋体"/>
          <w:spacing w:val="-2"/>
          <w:sz w:val="28"/>
          <w:szCs w:val="28"/>
          <w:lang w:val="en-US" w:eastAsia="zh-CN"/>
        </w:rPr>
      </w:pPr>
    </w:p>
    <w:p w14:paraId="1B76F697">
      <w:pPr>
        <w:pStyle w:val="2"/>
        <w:rPr>
          <w:rFonts w:hint="eastAsia" w:ascii="宋体" w:hAnsi="宋体" w:eastAsia="宋体" w:cs="宋体"/>
          <w:spacing w:val="-2"/>
          <w:sz w:val="28"/>
          <w:szCs w:val="28"/>
          <w:lang w:val="en-US" w:eastAsia="zh-CN"/>
        </w:rPr>
      </w:pPr>
    </w:p>
    <w:p w14:paraId="3B948697">
      <w:pPr>
        <w:pStyle w:val="2"/>
        <w:rPr>
          <w:rFonts w:hint="eastAsia" w:ascii="宋体" w:hAnsi="宋体" w:eastAsia="宋体" w:cs="宋体"/>
          <w:spacing w:val="-2"/>
          <w:sz w:val="28"/>
          <w:szCs w:val="28"/>
          <w:lang w:val="en-US" w:eastAsia="zh-CN"/>
        </w:rPr>
      </w:pPr>
    </w:p>
    <w:p w14:paraId="0DACBC08">
      <w:pPr>
        <w:pStyle w:val="2"/>
        <w:rPr>
          <w:rFonts w:hint="eastAsia" w:ascii="宋体" w:hAnsi="宋体" w:eastAsia="宋体" w:cs="宋体"/>
          <w:spacing w:val="-2"/>
          <w:sz w:val="28"/>
          <w:szCs w:val="28"/>
          <w:lang w:val="en-US" w:eastAsia="zh-CN"/>
        </w:rPr>
      </w:pPr>
    </w:p>
    <w:p w14:paraId="740E1C0E">
      <w:pPr>
        <w:pStyle w:val="2"/>
        <w:rPr>
          <w:rFonts w:hint="eastAsia" w:ascii="宋体" w:hAnsi="宋体" w:eastAsia="宋体" w:cs="宋体"/>
          <w:spacing w:val="-2"/>
          <w:sz w:val="28"/>
          <w:szCs w:val="28"/>
          <w:lang w:val="en-US" w:eastAsia="zh-CN"/>
        </w:rPr>
      </w:pPr>
    </w:p>
    <w:p w14:paraId="67086FEB">
      <w:pPr>
        <w:pStyle w:val="2"/>
        <w:rPr>
          <w:rFonts w:hint="eastAsia" w:ascii="宋体" w:hAnsi="宋体" w:eastAsia="宋体" w:cs="宋体"/>
          <w:spacing w:val="-2"/>
          <w:sz w:val="28"/>
          <w:szCs w:val="28"/>
          <w:lang w:val="en-US" w:eastAsia="zh-CN"/>
        </w:rPr>
      </w:pPr>
    </w:p>
    <w:p w14:paraId="6F4C91DF">
      <w:pPr>
        <w:rPr>
          <w:rFonts w:hint="eastAsia" w:ascii="宋体" w:hAnsi="宋体" w:cs="宋体"/>
          <w:spacing w:val="-2"/>
          <w:sz w:val="28"/>
          <w:szCs w:val="28"/>
          <w:lang w:val="en-US" w:eastAsia="zh-CN"/>
        </w:rPr>
      </w:pPr>
      <w:r>
        <w:rPr>
          <w:rFonts w:hint="eastAsia" w:ascii="宋体" w:hAnsi="宋体" w:cs="宋体"/>
          <w:spacing w:val="-2"/>
          <w:sz w:val="28"/>
          <w:szCs w:val="28"/>
          <w:lang w:val="en-US" w:eastAsia="zh-CN"/>
        </w:rPr>
        <w:br w:type="page"/>
      </w:r>
    </w:p>
    <w:p w14:paraId="575C40C9">
      <w:pPr>
        <w:pStyle w:val="2"/>
        <w:ind w:left="0" w:leftChars="0" w:firstLine="0" w:firstLineChars="0"/>
        <w:rPr>
          <w:rFonts w:hint="eastAsia" w:ascii="宋体" w:hAnsi="宋体" w:cs="宋体"/>
          <w:spacing w:val="-2"/>
          <w:sz w:val="28"/>
          <w:szCs w:val="28"/>
          <w:lang w:val="en-US" w:eastAsia="zh-CN"/>
        </w:rPr>
      </w:pPr>
      <w:r>
        <w:rPr>
          <w:rFonts w:hint="eastAsia" w:ascii="宋体" w:hAnsi="宋体" w:cs="宋体"/>
          <w:spacing w:val="-2"/>
          <w:sz w:val="28"/>
          <w:szCs w:val="28"/>
          <w:lang w:val="en-US" w:eastAsia="zh-CN"/>
        </w:rPr>
        <w:t>附件2：</w:t>
      </w:r>
    </w:p>
    <w:p w14:paraId="0CF0082C">
      <w:pPr>
        <w:keepNext w:val="0"/>
        <w:keepLines w:val="0"/>
        <w:widowControl/>
        <w:suppressLineNumbers w:val="0"/>
        <w:spacing w:after="240" w:afterAutospacing="0"/>
        <w:jc w:val="left"/>
      </w:pPr>
      <w:r>
        <w:rPr>
          <w:rStyle w:val="8"/>
          <w:rFonts w:ascii="arial" w:hAnsi="arial" w:eastAsia="宋体" w:cs="arial"/>
          <w:b/>
          <w:bCs/>
          <w:i w:val="0"/>
          <w:iCs w:val="0"/>
          <w:caps w:val="0"/>
          <w:snapToGrid w:val="0"/>
          <w:color w:val="000000"/>
          <w:spacing w:val="0"/>
          <w:kern w:val="0"/>
          <w:sz w:val="30"/>
          <w:szCs w:val="30"/>
          <w:shd w:val="clear" w:fill="FFFFFF"/>
          <w:lang w:val="en-US" w:eastAsia="zh-CN" w:bidi="ar"/>
        </w:rPr>
        <w:t>华鼎四海（北京）认证有限公司</w:t>
      </w:r>
      <w:r>
        <w:rPr>
          <w:rStyle w:val="8"/>
          <w:rFonts w:hint="default" w:ascii="arial" w:hAnsi="arial" w:eastAsia="宋体" w:cs="arial"/>
          <w:b/>
          <w:bCs/>
          <w:i w:val="0"/>
          <w:iCs w:val="0"/>
          <w:caps w:val="0"/>
          <w:snapToGrid w:val="0"/>
          <w:color w:val="000000"/>
          <w:spacing w:val="0"/>
          <w:kern w:val="0"/>
          <w:sz w:val="30"/>
          <w:szCs w:val="30"/>
          <w:shd w:val="clear" w:fill="FFFFFF"/>
          <w:lang w:val="en-US" w:eastAsia="zh-CN" w:bidi="ar"/>
        </w:rPr>
        <w:br w:type="textWrapping"/>
      </w:r>
      <w:r>
        <w:rPr>
          <w:rStyle w:val="8"/>
          <w:rFonts w:hint="default" w:ascii="arial" w:hAnsi="arial" w:eastAsia="宋体" w:cs="arial"/>
          <w:b/>
          <w:bCs/>
          <w:i w:val="0"/>
          <w:iCs w:val="0"/>
          <w:caps w:val="0"/>
          <w:snapToGrid w:val="0"/>
          <w:color w:val="000000"/>
          <w:spacing w:val="0"/>
          <w:kern w:val="0"/>
          <w:sz w:val="30"/>
          <w:szCs w:val="30"/>
          <w:shd w:val="clear" w:fill="FFFFFF"/>
          <w:lang w:val="en-US" w:eastAsia="zh-CN" w:bidi="ar"/>
        </w:rPr>
        <w:t>管理性作业文件</w:t>
      </w:r>
      <w:r>
        <w:rPr>
          <w:rFonts w:hint="default" w:ascii="arial" w:hAnsi="arial" w:eastAsia="宋体" w:cs="arial"/>
          <w:i w:val="0"/>
          <w:iCs w:val="0"/>
          <w:caps w:val="0"/>
          <w:snapToGrid w:val="0"/>
          <w:color w:val="000000"/>
          <w:spacing w:val="0"/>
          <w:kern w:val="0"/>
          <w:sz w:val="30"/>
          <w:szCs w:val="3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shd w:val="clear" w:fill="FFFFFF"/>
          <w:lang w:val="en-US" w:eastAsia="zh-CN" w:bidi="ar"/>
        </w:rPr>
        <w:t>认证的批准、拒绝、保持、扩大、缩小、暂停、恢复和撤销的条件和程序要求</w:t>
      </w:r>
    </w:p>
    <w:p w14:paraId="742F6C2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arial" w:hAnsi="arial" w:cs="arial"/>
          <w:i w:val="0"/>
          <w:iCs w:val="0"/>
          <w:caps w:val="0"/>
          <w:color w:val="656565"/>
          <w:spacing w:val="0"/>
          <w:sz w:val="30"/>
          <w:szCs w:val="30"/>
        </w:rPr>
      </w:pPr>
      <w:r>
        <w:rPr>
          <w:rStyle w:val="8"/>
          <w:rFonts w:hint="default" w:ascii="arial" w:hAnsi="arial" w:eastAsia="宋体" w:cs="arial"/>
          <w:b/>
          <w:bCs/>
          <w:i w:val="0"/>
          <w:iCs w:val="0"/>
          <w:caps w:val="0"/>
          <w:snapToGrid w:val="0"/>
          <w:color w:val="000000"/>
          <w:spacing w:val="0"/>
          <w:kern w:val="0"/>
          <w:sz w:val="30"/>
          <w:szCs w:val="30"/>
          <w:bdr w:val="none" w:color="auto" w:sz="0" w:space="0"/>
          <w:shd w:val="clear" w:fill="FFFFFF"/>
          <w:lang w:val="en-US" w:eastAsia="zh-CN" w:bidi="ar"/>
        </w:rPr>
        <w:t>1 批准认证范围的条件和程序要求</w:t>
      </w:r>
    </w:p>
    <w:p w14:paraId="7A948D9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arial" w:hAnsi="arial" w:cs="arial"/>
          <w:i w:val="0"/>
          <w:iCs w:val="0"/>
          <w:caps w:val="0"/>
          <w:color w:val="656565"/>
          <w:spacing w:val="0"/>
          <w:sz w:val="30"/>
          <w:szCs w:val="30"/>
        </w:rPr>
      </w:pP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1.1 批准认证注册的条件</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a)认证客户的申请材料真实、准确、有效；</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b)认证客户建立和实施的相关管理体系符合认证标准/规范性文件要求，审核组提出推荐认证的结论意见；</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c)认证客户申请认证范围在法律地位文件和资质规定的范围内；</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d)国家或地方或行业有要求时，认证客户申请认证范围内的组织单元、产品、服务及其过程和活动已满足适用的法律法规的要求；</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e)审核证据表明管理评审和内部审核的安排已实施、有效且得到保持，并已进行了一次覆盖管理体系所有要求的完整内部审核；</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f)审核中发现的不合格在规定期限内已经采取纠正/纠正措施，经HDCC验证有效。</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g)至少近一年来，认证客户申请认证范围内未发生重大质量/环境/职业健康安全事故或国家检查不合格；</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h)认证客户已与华鼎签署认证合同，承诺始终遵守认证的有关规定，并按照认证合同规定缴纳认证费用。</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1.2 批准认证资格的程序要求</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a)HDCC向认证客户提供认证有关信息的公开文件，使其知悉并理解；</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b)认证客户向HDCC正式提交认证申请书和相关附件；</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c)HDCC根据客户申请信息进行申请评审，并已确认受理认证申请；</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d)满足6.1.1批准认证资格的条件，经HDCC审定，认为认证客户在认证范围内已满足批准认证资格的条件，同意批准认证；</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e)HDCC向认证客户颁发认证证书，要求获证方按规定使用认证标志。</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Style w:val="8"/>
          <w:rFonts w:hint="default" w:ascii="arial" w:hAnsi="arial" w:eastAsia="宋体" w:cs="arial"/>
          <w:b/>
          <w:bCs/>
          <w:i w:val="0"/>
          <w:iCs w:val="0"/>
          <w:caps w:val="0"/>
          <w:snapToGrid w:val="0"/>
          <w:color w:val="000000"/>
          <w:spacing w:val="0"/>
          <w:kern w:val="0"/>
          <w:sz w:val="30"/>
          <w:szCs w:val="30"/>
          <w:bdr w:val="none" w:color="auto" w:sz="0" w:space="0"/>
          <w:shd w:val="clear" w:fill="FFFFFF"/>
          <w:lang w:val="en-US" w:eastAsia="zh-CN" w:bidi="ar"/>
        </w:rPr>
        <w:t>2 拒绝认证注册的条件和程序要求</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2.1 拒绝认证资格的条件</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a)认证客户信息未通过HDCC的申请评审，评审为不予受理认证申请； </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b)HDCC审核组现场审核结论为“不推荐认证注册”；</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c)认证客户的管理体系有重大缺陷，不符合认证标准的要求，或认证客户存在重大质量、安全、环境问题及与认证范围内相关严重违法违规行为，经HDCC的审定结论为不予认证注册；</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d)初次认证第二阶段后，认证客户未在规定的时间内按要求关闭不符合，或未按规定接受HDCC再次实施的二阶段审核；</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e)再认证审核后，认证客户未在规定的时间内按要求关闭不符合（包括HDCC审定提出的不符合）；</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f)除以上情况外，HDCC的审定结论为不予认证注册。</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2.2 拒绝认证注册的程序要求</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a)符合6.2.1条件之一，经HDCC评审为不予受理认证或认证客户的管理体系不满足批准认证资格条件； </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b)HDCC向认证客户发出《不予认证注册通知》。</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Style w:val="8"/>
          <w:rFonts w:hint="default" w:ascii="arial" w:hAnsi="arial" w:eastAsia="宋体" w:cs="arial"/>
          <w:b/>
          <w:bCs/>
          <w:i w:val="0"/>
          <w:iCs w:val="0"/>
          <w:caps w:val="0"/>
          <w:snapToGrid w:val="0"/>
          <w:color w:val="000000"/>
          <w:spacing w:val="0"/>
          <w:kern w:val="0"/>
          <w:sz w:val="30"/>
          <w:szCs w:val="30"/>
          <w:bdr w:val="none" w:color="auto" w:sz="0" w:space="0"/>
          <w:shd w:val="clear" w:fill="FFFFFF"/>
          <w:lang w:val="en-US" w:eastAsia="zh-CN" w:bidi="ar"/>
        </w:rPr>
        <w:t>3 保持认证资格的条件和程序要求</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3.1 保持认证资格的条件</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a)获证客户的法律地位、行政许可文件持续符合国家的最新要求，并且认证范围在法律地位文件和行政许可文件规定的范围内；</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b)获证客户持续遵守认证有关的规定，包括变更的规定；</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c)获证客户在认证范围内的组织单元、产品、服务及其过程和活动持续满足适用的最新法律法规的要求，如发生不满足时及时采取有效的措施；</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d)获证客户于获证期内，认证范围内涉及的产品/服务/活动未发生重大事故和国家检查不合格；</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e)获证客户在获证期间未发生误用认证证书和认证标志，如有发生能及时有效地采取纠正和纠正措施，并将误用产生的影响降至最少程度；</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f)获证客户对顾客或相关方的重大投诉和关切能及时有效地处理；</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g)获证客户能按照HDCC要求及时通报管理体系和重要过程变更等信息；</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h)按时接受监督审核,经现场审核获证客户的管理体系持续符合认证标准/规范性文件要求，审核组结论为“保持认证”；</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i)获证客户履行与HDCC签署认证合同中规定的责任和义务，并按照认证合同规定缴纳认证费用。</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3.2 保持认证资格的程序要求</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a)满足6.3.1保持认证资格的条件，监督审核后，经HDCC派出的审核组长确认和HDCC审查后认为获证客户在认证范围内能持续满足保持认证资格的条件，同意保持认证资格，由HDCC签发确认证书并向获证客户发放； </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b)在认证证书有效期内如有认证要求变更，获证客户接受变更的认证要求，并经HDCC验证在认证范围内管理体系满足变更的要求，可保持认证资格。</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Style w:val="8"/>
          <w:rFonts w:hint="default" w:ascii="arial" w:hAnsi="arial" w:eastAsia="宋体" w:cs="arial"/>
          <w:b/>
          <w:bCs/>
          <w:i w:val="0"/>
          <w:iCs w:val="0"/>
          <w:caps w:val="0"/>
          <w:snapToGrid w:val="0"/>
          <w:color w:val="000000"/>
          <w:spacing w:val="0"/>
          <w:kern w:val="0"/>
          <w:sz w:val="30"/>
          <w:szCs w:val="30"/>
          <w:bdr w:val="none" w:color="auto" w:sz="0" w:space="0"/>
          <w:shd w:val="clear" w:fill="FFFFFF"/>
          <w:lang w:val="en-US" w:eastAsia="zh-CN" w:bidi="ar"/>
        </w:rPr>
        <w:t>4 扩大认证范围的条件和程序要求</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4.1 扩大认证范围的分类</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a)获证客户名称增加、固定分场所增加、区域或生产单元（EMS区域、生产线）扩大；</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b)产品或服务类别增加；</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c)产品形成主要过程增加，如产品设计、产品安装。</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4.2 扩大认证范围的条件</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a)获证客户保持认证资格有效。</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b)获证客户申请扩大的认证范围在法律地位文件范围内。国家、地方或行业有要求时，获证客户拟扩大的认证范围具有有效的行政许可文件；</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c)国家或地方或行业有要求时，获证客户在申请扩大认证范围内的组织单元、产品、服务及其过程和活动，已满足适用的法律法规的要求；</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d)获证客户的管理体系覆盖申请扩大的认证范围，并符合认证标准/规范性文件要求；</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e)获证客户按照认证规定缴纳补充认证费用。</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4.3 扩大认证范围的程序要求</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a)HDCC向获证客户提供与扩大认证范围有关信息的公开文件，获证客户知悉并理解；</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b)获证客户向HDCC正式提交扩大认证范围的申请和相关附件；</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c)需要时，获证客户与HDCC补充签署或修订认证合同，并按照规定补充缴纳认证费用；</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d)满足6.4.1扩大认证范围的条件，经HDCC审核、审定，认为获证客户在申请扩大认证范围内已满足批准认证资格的条件，同意批准扩大认证范围，认证证书的注册号和有效期保持不变；</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e)HDCC向获证客户送交新认证证书，同时收回原证书。</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Style w:val="8"/>
          <w:rFonts w:hint="default" w:ascii="arial" w:hAnsi="arial" w:eastAsia="宋体" w:cs="arial"/>
          <w:b/>
          <w:bCs/>
          <w:i w:val="0"/>
          <w:iCs w:val="0"/>
          <w:caps w:val="0"/>
          <w:snapToGrid w:val="0"/>
          <w:color w:val="000000"/>
          <w:spacing w:val="0"/>
          <w:kern w:val="0"/>
          <w:sz w:val="30"/>
          <w:szCs w:val="30"/>
          <w:bdr w:val="none" w:color="auto" w:sz="0" w:space="0"/>
          <w:shd w:val="clear" w:fill="FFFFFF"/>
          <w:lang w:val="en-US" w:eastAsia="zh-CN" w:bidi="ar"/>
        </w:rPr>
        <w:t>5 缩小认证范围的条件和程序要求</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5.1 缩小认证范围的分类</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a)获证客户固定分场所、区域或生产单元（EMS区域、生产线）缩小；</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b)产品类别减少；</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c)产品形成主要过程减少，如产品设计、产品安装；</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d)多个组织认证减少组织数量。</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5.2 缩小认证范围的条件</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a)获证客户认证范围内部分产品/服务、区域等不再符合认证标准/规范性文件和其他要求；</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b)获证客户不愿再继续保持认证范围内的部分产品、服务、区域等认证资格；</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c)获证客户缩小认证范围应不包括为缩小认证风险的情况。</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5.3 缩小认证范围的程序要求</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a)获证客户向HDCC正式提交缩小认证范围的申请，或HDCC提出缩小获证客户认证范围的建议，并提供理由和证据。HDCC的审定意见和日常监督结果也可作为认证范围缩小的信息来源和理由，经认证双方沟通后达成一致意见；</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b)需要时，获证客户应与HDCC修订认证合同；</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c)经HDCC审定，认为获证客户在申请缩小认证范围不会对仍保持的认证范围产生影响，同意批准缩小认证范围，收回原认证证书，换发认证证书或附件，认证证书的注册号和有效期保持不变。</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Style w:val="8"/>
          <w:rFonts w:hint="default" w:ascii="arial" w:hAnsi="arial" w:eastAsia="宋体" w:cs="arial"/>
          <w:b/>
          <w:bCs/>
          <w:i w:val="0"/>
          <w:iCs w:val="0"/>
          <w:caps w:val="0"/>
          <w:snapToGrid w:val="0"/>
          <w:color w:val="000000"/>
          <w:spacing w:val="0"/>
          <w:kern w:val="0"/>
          <w:sz w:val="30"/>
          <w:szCs w:val="30"/>
          <w:bdr w:val="none" w:color="auto" w:sz="0" w:space="0"/>
          <w:shd w:val="clear" w:fill="FFFFFF"/>
          <w:lang w:val="en-US" w:eastAsia="zh-CN" w:bidi="ar"/>
        </w:rPr>
        <w:t>6 变更认证信息的条件和程序要求</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6.1变更认证信息的条件和分类</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6.1.1变更认证信息的条件</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在认证证书有效内，获证客户因信息发生变更，导致与认证证书信息不一致时，应予以更新。</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6.1.2变更认证信息的分类：</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a)获证客户名称、住所变更；</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b)认证地址变更；</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c)地名、邮编变更；</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d)企业人数变更，证书编号变更；</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e)证书范围中的产品、服务、活动的变更。</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6.2变更认证信息的程序要求</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6.2.1认证信息的变更需提交的资料</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6.2.1.1获证客户名称、住所变更应提交的资料</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a)获证客户的书面变更申请；</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b)获证客户是企业的，提供工商行政主管部门的变更核准证明及新营业执照复印件；其他性质的获证客户提供允许其设立的政府行政主管部门的相关文件；</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c)对于因改制、企业重组引起的名称变更，获证客户不能获得名称变更核准证明时，应提交组织以原名称和现名称名义的更名申请、政府有关部门的批文和原名称注销证明；并需因管理体系发生重大变更接受HDCC的一次监督审核和审定；</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d)有行政许可、资质等要求的获证客户，还应提供按新名称变更后的有关文件。</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6.2.1.2认证地址变更需要提交的资料</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a)获证客户的书面变更申请；</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b)有行政许可、资质等要求的获证客户，还应提供按新地址变更后的法规要求的有关文件（必要时，包括环评、环保验收，安评、安全验收等证据材料）。</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6.2.1.3 地名、邮编变更需要提交的资料</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a)获证客户的书面变更申请；</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b)当地政府的相关证明；</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c)对有行政许可、资质等要求的获证客户，还应提供按新地址变更后的有关文件。</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6.2.1.4企业增加人数，证书编号变更需要提交的资料</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获证客户提出企业增加人数时，需提交变更企业人数和证书编号的书面申请。</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6.2.1.5 证书范围中的产品、服务、活动的变更需要提交的资料</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a)获证客户的书面变更申请；</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b)对有行政许可、资质等要求的认证范围，还应提供相应文件复印件。</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6.2.2 认证信息变更的办理流程</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a)获证客户根据6.6.1要求向HDCC正式提交满足6.6.2.1要求的申请和相关文件资料；</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b)需要时，获证客户应接受HDCC的审核；</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c)经HDCC审定，认为获证客户满足认证信息变更的条件，同意批准认证信息变更；</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d)HDCC收回原认证证书，换发认证证书或附件，认证证书的有效期保持不变。</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Style w:val="8"/>
          <w:rFonts w:hint="default" w:ascii="arial" w:hAnsi="arial" w:eastAsia="宋体" w:cs="arial"/>
          <w:b/>
          <w:bCs/>
          <w:i w:val="0"/>
          <w:iCs w:val="0"/>
          <w:caps w:val="0"/>
          <w:snapToGrid w:val="0"/>
          <w:color w:val="000000"/>
          <w:spacing w:val="0"/>
          <w:kern w:val="0"/>
          <w:sz w:val="30"/>
          <w:szCs w:val="30"/>
          <w:bdr w:val="none" w:color="auto" w:sz="0" w:space="0"/>
          <w:shd w:val="clear" w:fill="FFFFFF"/>
          <w:lang w:val="en-US" w:eastAsia="zh-CN" w:bidi="ar"/>
        </w:rPr>
        <w:t>7 暂停认证资格的条件和程序要求</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7.1 暂停认证资格的条件</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符合下列条件之一的获证客户，HDCC将暂停其认证证书：</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--获证客户管理及服务体系持续或严重不满足认证要求，包括对体系运行的有效性要求。</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a)获证客户的管理体系发生重大变更，不能持续符合认证标准/规范性文件要求；</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b)获证客户监督审核期间发生严重影响体系运行的情况；</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c)获证客户在认证范围内的组织单元、产品、服务及其过程和活动不能满足适用的最新法律法规和标准的要求，并未采取措施或措施无效；</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d)获证客户未按照认证要求的变更做出相应调整，或调整不满足变更要求；</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e)获证乳品企业违反认证机构要求。</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--获证客户不承担、履行认证合同约定的责任和义务。</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a)获证客户未能在规定的期限内接受监督或再认证审核；获证客户</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b)获证客户未履行与HDCC签署认证合同中规定的责任和义务，并对保持认证资格产生重大影响；</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c)获证客户未按照认证合同规定缴纳认证费用；</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d)获证客户在获证期间发生误用认证证书和认证标志，并未能及时有效地采取纠正和纠正措施，以将产生的影响降至最少程度。</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--获证客户在证书有效期间受到相关执法监管部门处罚。</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a) 获证客户未按要求对信息进行通报。</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--获证客户被地方认证监管部门发现体系运行存在问题。</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a)获证客户于获证期间在认证范围内发生国家抽检不合格，并未查明原因和采取补救措施。</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--获证客户持有的行政许可证明、资质证书、强制性认证证书等过期失效，重新提交的申请已被受理但尚未换证。</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a)获证客户的法律地位、资质不再符合国家的最新要求；</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b)获证客户的认证范围已不在现行有效的法律地位文件和资质规定的范围内，但仍有可能在短期内符合规定要求。</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--获证客户主动请求暂停。</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--获证客户发生了与质量、环境、职业健康安全等有关的重大事故，反映出获证客户的体系建立及运行存在重大缺陷。</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a)获证客户于获证期间在认证范围内发生重大事故被媒体曝光、或未查明原因和采取补救措施；</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b)获证客户批量产品出现严重波动，未采取措施或措施无效的（QMS适用）。</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--总装厂将企业确定为供货特殊状态或者企业被其客户投诉。</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--其他原因需要暂停证书。</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7.2 暂停认证资格的程序要求</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a)HDCC提出对获证客户暂停全部或部分认证范围内认证资格的建议，并提供理由和证据,或由获证客户向HDCC提出暂停认证资格的申请；</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b)必要时，HDCC与获证客户沟通，核实证据；</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c)经HDCC审定，认为获证客户在认证范围内全部或部分不再持续满足认证要求，但仍然有可能在短期内采取纠正措施的，同意批准暂停全部或部分认证范围的认证资格，并确定暂停期限，向获证客户颁发《认证处置决定通知书》并公告；</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d)获证客户按照《管理体系认证证书和认证标志、认可标识使用规则》停止使用认证证书和认证标志, 在暂停期间，客户的管理体系认证暂时无效。</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Style w:val="8"/>
          <w:rFonts w:hint="default" w:ascii="arial" w:hAnsi="arial" w:eastAsia="宋体" w:cs="arial"/>
          <w:b/>
          <w:bCs/>
          <w:i w:val="0"/>
          <w:iCs w:val="0"/>
          <w:caps w:val="0"/>
          <w:snapToGrid w:val="0"/>
          <w:color w:val="000000"/>
          <w:spacing w:val="0"/>
          <w:kern w:val="0"/>
          <w:sz w:val="30"/>
          <w:szCs w:val="30"/>
          <w:bdr w:val="none" w:color="auto" w:sz="0" w:space="0"/>
          <w:shd w:val="clear" w:fill="FFFFFF"/>
          <w:lang w:val="en-US" w:eastAsia="zh-CN" w:bidi="ar"/>
        </w:rPr>
        <w:t>8 恢复认证资格的条件和程序要求</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8.1 恢复认证资格的条件</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获证客户已针对暂停认证资格的原因采取了有效的纠正措施，产生原因已经消除，认证资格的恢复符合相关的认证要求，同时已证实在暂停期内没有使用、引用认证资格（如广告宣传）和使用认证标志。</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8.2 恢复认证资格的程序要求</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a)在确定的认证资格暂停限期结束前，根据暂停原因，获证客户在规定期限内向HDCC提出恢复认证资格的《恢复使用认证证书和认证标志的申请书》；</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b)需要时，获证客户应提交相关纠正措施和有效性验证材料；</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c)经HDCC审定，确认获证客户在暂停认证资格的认证范围内已恢复符合相关的认证要求，作出同意恢复认证资格的结论，颁发《恢复使用认证证书和标志的通知》并公告。</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Style w:val="8"/>
          <w:rFonts w:hint="default" w:ascii="arial" w:hAnsi="arial" w:eastAsia="宋体" w:cs="arial"/>
          <w:b/>
          <w:bCs/>
          <w:i w:val="0"/>
          <w:iCs w:val="0"/>
          <w:caps w:val="0"/>
          <w:snapToGrid w:val="0"/>
          <w:color w:val="000000"/>
          <w:spacing w:val="0"/>
          <w:kern w:val="0"/>
          <w:sz w:val="30"/>
          <w:szCs w:val="30"/>
          <w:bdr w:val="none" w:color="auto" w:sz="0" w:space="0"/>
          <w:shd w:val="clear" w:fill="FFFFFF"/>
          <w:lang w:val="en-US" w:eastAsia="zh-CN" w:bidi="ar"/>
        </w:rPr>
        <w:t>9 撤销认证资格的条件和程序要求</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9.1 撤销认证资格的条件</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符合下列条件之一的获证客户，HDCC将撤销其认证证书：</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--获证客户审核未通过。</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--获证客户被注销或撤销法律地位证明文件。</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a) 获证客户的法律地位、资质不再符合国家的最新要求；</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--获证客户拒绝配合认证监管部门实施的监督检查，或者对有关事项的询问和调查提供了虚假材料或信息。</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a）被国家行政主管部门列入信用严重失信企业名单。</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--获证客户出现重大的产品或服务质量重大事故、环境污染事故、职业健康安全事故等，经执法监管部门确认是获证客户违规造成。</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a) 获证客户于获证期间在认证范围内发生国家抽检不合格，并造成严重影响。</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b）拒绝接受国家行政主管部门监督抽查的。</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--获证客户在证书有效期间有其他严重违反法律法规行为，受到相关执法监管部门处罚。</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--获证客户暂停认证证书的期限已满但导致暂停的问题未得到解决或纠正（包括持有的行政许可证明、资质证书、强制性认证证书等已经过期失效但申请未获批准）。</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--获证客户没有运行管理体系或者已不具备运行条件。</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a)获证客户在认证范围内的管理体系发生重大变更，未向HDCC通报，并在短期内无法满足认证要求；</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b) 获证客户体制变更后原管理体系已不再适宜；</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c) 获证客户不再生产体系覆盖内产品；</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d) 获证客户在认证范围内的组织单元、产品、服务及其过程和活动严重不能满足适用的最新法律法规和标准的要求，并在短期内无法采取措施或采取措施无效的；</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e)获证客户停业或关闭的。</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--获证客户不按相关规定正确引用和宣传获得的认证信息，造成严重影响或后果，或者认证机构已要求其纠正但超过2个月仍未纠正。</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a) 获证客户在获证期间发生大量误用认证证书和认证标志，并未能及时有效地采取纠正和纠正措施，误导消费者，影响面大；</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b) 获证客户转让认证证书和认证标志；</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--获证客户发生了与质量、环境、职业健康安全等有关的重大事故，反映出获证客户的体系建立及运行存在重大缺陷。</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a) 获证客户产品质量出现严重质量问题，在短期内无法恢复符合性（QMS适用）。</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--获证客户因换发新证而撤销旧证书。</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--获证客户不承担、履行认证合同约定的责任和义务。</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a) 获证客户单方面宣布不履行与HDCC签署认证合同中规定的责任和义务的；</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b) 获证客户长期拖缴认证费用，并催缴无效的；</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c) 经核实获证客户提供虚假信息，且影响了审核、认证决定的有效性的；</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d) 获证客户更换认证机构的（未书面告知HDCC的）；</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e) 获证客户对顾客或相关方的重大投诉不做处理的。</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--获证客户主动放弃认证。</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--其他原因需要撤销证书。</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9.2 撤销认证资格的程序要求</w:t>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br w:type="textWrapping"/>
      </w:r>
      <w:r>
        <w:rPr>
          <w:rFonts w:hint="default" w:ascii="arial" w:hAnsi="arial" w:eastAsia="宋体" w:cs="arial"/>
          <w:i w:val="0"/>
          <w:iCs w:val="0"/>
          <w:caps w:val="0"/>
          <w:snapToGrid w:val="0"/>
          <w:color w:val="000000"/>
          <w:spacing w:val="0"/>
          <w:kern w:val="0"/>
          <w:sz w:val="30"/>
          <w:szCs w:val="30"/>
          <w:bdr w:val="none" w:color="auto" w:sz="0" w:space="0"/>
          <w:shd w:val="clear" w:fill="FFFFFF"/>
          <w:lang w:val="en-US" w:eastAsia="zh-CN" w:bidi="ar"/>
        </w:rPr>
        <w:t>经HDCC核实与审定，确认获证客户在认证范围内的管理体系不再满足认证要求，作出撤销认证资格的结论，发放《认证处置决定通知书》并公告，收回认证证书，认证客户不得再使用认证标志。</w:t>
      </w:r>
    </w:p>
    <w:p w14:paraId="7533EF60">
      <w:pPr>
        <w:pStyle w:val="2"/>
        <w:rPr>
          <w:rFonts w:hint="eastAsia" w:ascii="微软雅黑" w:hAnsi="微软雅黑" w:eastAsia="微软雅黑" w:cs="微软雅黑"/>
          <w:i w:val="0"/>
          <w:iCs w:val="0"/>
          <w:caps w:val="0"/>
          <w:color w:val="666666"/>
          <w:spacing w:val="0"/>
          <w:sz w:val="16"/>
          <w:szCs w:val="16"/>
          <w:shd w:val="clear" w:fill="FFFFFF"/>
        </w:rPr>
      </w:pPr>
    </w:p>
    <w:p w14:paraId="3DBB19F0">
      <w:pPr>
        <w:pStyle w:val="2"/>
        <w:rPr>
          <w:rFonts w:hint="eastAsia" w:ascii="微软雅黑" w:hAnsi="微软雅黑" w:eastAsia="微软雅黑" w:cs="微软雅黑"/>
          <w:i w:val="0"/>
          <w:iCs w:val="0"/>
          <w:caps w:val="0"/>
          <w:color w:val="666666"/>
          <w:spacing w:val="0"/>
          <w:sz w:val="16"/>
          <w:szCs w:val="16"/>
          <w:shd w:val="clear" w:fill="FFFFFF"/>
        </w:rPr>
      </w:pPr>
    </w:p>
    <w:p w14:paraId="6C9AD35E">
      <w:pPr>
        <w:pStyle w:val="2"/>
        <w:rPr>
          <w:rFonts w:hint="eastAsia" w:ascii="微软雅黑" w:hAnsi="微软雅黑" w:eastAsia="微软雅黑" w:cs="微软雅黑"/>
          <w:i w:val="0"/>
          <w:iCs w:val="0"/>
          <w:caps w:val="0"/>
          <w:color w:val="666666"/>
          <w:spacing w:val="0"/>
          <w:sz w:val="16"/>
          <w:szCs w:val="16"/>
          <w:shd w:val="clear" w:fill="FFFFFF"/>
        </w:rPr>
      </w:pPr>
    </w:p>
    <w:p w14:paraId="7C682B9B">
      <w:pPr>
        <w:pStyle w:val="2"/>
        <w:rPr>
          <w:rFonts w:hint="eastAsia" w:ascii="微软雅黑" w:hAnsi="微软雅黑" w:eastAsia="微软雅黑" w:cs="微软雅黑"/>
          <w:i w:val="0"/>
          <w:iCs w:val="0"/>
          <w:caps w:val="0"/>
          <w:color w:val="666666"/>
          <w:spacing w:val="0"/>
          <w:sz w:val="16"/>
          <w:szCs w:val="16"/>
          <w:shd w:val="clear" w:fill="FFFFFF"/>
        </w:rPr>
      </w:pPr>
    </w:p>
    <w:p w14:paraId="71C50B87">
      <w:pPr>
        <w:pStyle w:val="2"/>
        <w:rPr>
          <w:rFonts w:hint="eastAsia" w:ascii="微软雅黑" w:hAnsi="微软雅黑" w:eastAsia="微软雅黑" w:cs="微软雅黑"/>
          <w:i w:val="0"/>
          <w:iCs w:val="0"/>
          <w:caps w:val="0"/>
          <w:color w:val="666666"/>
          <w:spacing w:val="0"/>
          <w:sz w:val="16"/>
          <w:szCs w:val="16"/>
          <w:shd w:val="clear" w:fill="FFFFFF"/>
        </w:rPr>
      </w:pPr>
    </w:p>
    <w:p w14:paraId="2B1ACD35">
      <w:pPr>
        <w:pStyle w:val="2"/>
        <w:rPr>
          <w:rFonts w:hint="default" w:ascii="微软雅黑" w:hAnsi="微软雅黑" w:eastAsia="微软雅黑" w:cs="微软雅黑"/>
          <w:i w:val="0"/>
          <w:iCs w:val="0"/>
          <w:caps w:val="0"/>
          <w:color w:val="666666"/>
          <w:spacing w:val="0"/>
          <w:sz w:val="24"/>
          <w:szCs w:val="24"/>
          <w:shd w:val="clear" w:fill="FFFFFF"/>
          <w:lang w:val="en-US" w:eastAsia="zh-CN"/>
        </w:rPr>
      </w:pPr>
      <w:r>
        <w:rPr>
          <w:rFonts w:hint="eastAsia" w:ascii="微软雅黑" w:hAnsi="微软雅黑" w:eastAsia="微软雅黑" w:cs="微软雅黑"/>
          <w:i w:val="0"/>
          <w:iCs w:val="0"/>
          <w:caps w:val="0"/>
          <w:color w:val="666666"/>
          <w:spacing w:val="0"/>
          <w:sz w:val="24"/>
          <w:szCs w:val="24"/>
          <w:shd w:val="clear" w:fill="FFFFFF"/>
          <w:lang w:val="en-US" w:eastAsia="zh-CN"/>
        </w:rPr>
        <w:t>附件3：</w:t>
      </w:r>
    </w:p>
    <w:p w14:paraId="005A7FC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微软雅黑" w:hAnsi="微软雅黑" w:eastAsia="微软雅黑" w:cs="微软雅黑"/>
          <w:i w:val="0"/>
          <w:iCs w:val="0"/>
          <w:caps w:val="0"/>
          <w:color w:val="666666"/>
          <w:spacing w:val="0"/>
          <w:sz w:val="16"/>
          <w:szCs w:val="16"/>
          <w:lang w:val="en-US" w:eastAsia="zh-CN"/>
        </w:rPr>
      </w:pPr>
      <w:r>
        <w:rPr>
          <w:rFonts w:hint="eastAsia" w:ascii="微软雅黑" w:hAnsi="微软雅黑" w:eastAsia="微软雅黑" w:cs="微软雅黑"/>
          <w:i w:val="0"/>
          <w:iCs w:val="0"/>
          <w:caps w:val="0"/>
          <w:color w:val="666666"/>
          <w:spacing w:val="0"/>
          <w:sz w:val="16"/>
          <w:szCs w:val="16"/>
          <w:shd w:val="clear" w:fill="FFFFFF"/>
          <w:lang w:val="en-US" w:eastAsia="zh-CN"/>
        </w:rPr>
        <w:t>服务认证收费标准</w:t>
      </w:r>
    </w:p>
    <w:tbl>
      <w:tblPr>
        <w:tblStyle w:val="6"/>
        <w:tblpPr w:vertAnchor="text" w:tblpXSpec="left"/>
        <w:tblW w:w="8840" w:type="dxa"/>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1108"/>
        <w:gridCol w:w="2110"/>
        <w:gridCol w:w="2272"/>
        <w:gridCol w:w="3350"/>
      </w:tblGrid>
      <w:tr w14:paraId="1BD82A31">
        <w:tc>
          <w:tcPr>
            <w:tcW w:w="780" w:type="dxa"/>
            <w:tcBorders>
              <w:top w:val="single" w:color="auto" w:sz="8" w:space="0"/>
              <w:left w:val="single" w:color="auto" w:sz="8" w:space="0"/>
              <w:bottom w:val="single" w:color="auto" w:sz="8" w:space="0"/>
              <w:right w:val="single" w:color="auto" w:sz="8" w:space="0"/>
            </w:tcBorders>
            <w:shd w:val="clear" w:color="auto" w:fill="FFFFFF"/>
            <w:tcMar>
              <w:left w:w="420" w:type="dxa"/>
              <w:right w:w="120" w:type="dxa"/>
            </w:tcMar>
            <w:vAlign w:val="top"/>
          </w:tcPr>
          <w:p w14:paraId="080BDD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b/>
                <w:bCs/>
                <w:i w:val="0"/>
                <w:iCs w:val="0"/>
                <w:caps w:val="0"/>
                <w:snapToGrid w:val="0"/>
                <w:color w:val="000000"/>
                <w:spacing w:val="0"/>
                <w:kern w:val="0"/>
                <w:sz w:val="24"/>
                <w:szCs w:val="24"/>
                <w:lang w:val="en-US" w:eastAsia="zh-CN" w:bidi="ar"/>
              </w:rPr>
              <w:t>序号</w:t>
            </w:r>
          </w:p>
        </w:tc>
        <w:tc>
          <w:tcPr>
            <w:tcW w:w="1716" w:type="dxa"/>
            <w:tcBorders>
              <w:top w:val="single" w:color="auto" w:sz="8" w:space="0"/>
              <w:left w:val="single" w:color="auto" w:sz="8" w:space="0"/>
              <w:bottom w:val="single" w:color="auto" w:sz="8" w:space="0"/>
              <w:right w:val="single" w:color="auto" w:sz="8" w:space="0"/>
            </w:tcBorders>
            <w:shd w:val="clear" w:color="auto" w:fill="FFFFFF"/>
            <w:tcMar>
              <w:left w:w="420" w:type="dxa"/>
              <w:right w:w="120" w:type="dxa"/>
            </w:tcMar>
            <w:vAlign w:val="top"/>
          </w:tcPr>
          <w:p w14:paraId="3B1E6E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b/>
                <w:bCs/>
                <w:i w:val="0"/>
                <w:iCs w:val="0"/>
                <w:caps w:val="0"/>
                <w:snapToGrid w:val="0"/>
                <w:color w:val="000000"/>
                <w:spacing w:val="0"/>
                <w:kern w:val="0"/>
                <w:sz w:val="24"/>
                <w:szCs w:val="24"/>
                <w:lang w:val="en-US" w:eastAsia="zh-CN" w:bidi="ar"/>
              </w:rPr>
              <w:t>收费标准</w:t>
            </w:r>
          </w:p>
        </w:tc>
        <w:tc>
          <w:tcPr>
            <w:tcW w:w="1848" w:type="dxa"/>
            <w:tcBorders>
              <w:top w:val="single" w:color="auto" w:sz="8" w:space="0"/>
              <w:left w:val="single" w:color="auto" w:sz="8" w:space="0"/>
              <w:bottom w:val="single" w:color="auto" w:sz="8" w:space="0"/>
              <w:right w:val="single" w:color="auto" w:sz="8" w:space="0"/>
            </w:tcBorders>
            <w:shd w:val="clear" w:color="auto" w:fill="FFFFFF"/>
            <w:tcMar>
              <w:left w:w="420" w:type="dxa"/>
              <w:right w:w="120" w:type="dxa"/>
            </w:tcMar>
            <w:vAlign w:val="top"/>
          </w:tcPr>
          <w:p w14:paraId="3E0970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b/>
                <w:bCs/>
                <w:i w:val="0"/>
                <w:iCs w:val="0"/>
                <w:caps w:val="0"/>
                <w:snapToGrid w:val="0"/>
                <w:color w:val="000000"/>
                <w:spacing w:val="0"/>
                <w:kern w:val="0"/>
                <w:sz w:val="24"/>
                <w:szCs w:val="24"/>
                <w:lang w:val="en-US" w:eastAsia="zh-CN" w:bidi="ar"/>
              </w:rPr>
              <w:t>收费标准</w:t>
            </w:r>
          </w:p>
        </w:tc>
        <w:tc>
          <w:tcPr>
            <w:tcW w:w="2724" w:type="dxa"/>
            <w:tcBorders>
              <w:top w:val="single" w:color="auto" w:sz="8" w:space="0"/>
              <w:left w:val="single" w:color="auto" w:sz="8" w:space="0"/>
              <w:bottom w:val="single" w:color="auto" w:sz="8" w:space="0"/>
              <w:right w:val="single" w:color="auto" w:sz="8" w:space="0"/>
            </w:tcBorders>
            <w:shd w:val="clear" w:color="auto" w:fill="FFFFFF"/>
            <w:tcMar>
              <w:left w:w="420" w:type="dxa"/>
              <w:right w:w="120" w:type="dxa"/>
            </w:tcMar>
            <w:vAlign w:val="top"/>
          </w:tcPr>
          <w:p w14:paraId="3F4ACE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b/>
                <w:bCs/>
                <w:i w:val="0"/>
                <w:iCs w:val="0"/>
                <w:caps w:val="0"/>
                <w:snapToGrid w:val="0"/>
                <w:color w:val="000000"/>
                <w:spacing w:val="0"/>
                <w:kern w:val="0"/>
                <w:sz w:val="24"/>
                <w:szCs w:val="24"/>
                <w:lang w:val="en-US" w:eastAsia="zh-CN" w:bidi="ar"/>
              </w:rPr>
              <w:t>备注</w:t>
            </w:r>
          </w:p>
        </w:tc>
      </w:tr>
      <w:tr w14:paraId="33E7B776">
        <w:tc>
          <w:tcPr>
            <w:tcW w:w="780" w:type="dxa"/>
            <w:tcBorders>
              <w:top w:val="single" w:color="auto" w:sz="8" w:space="0"/>
              <w:left w:val="single" w:color="auto" w:sz="8" w:space="0"/>
              <w:bottom w:val="single" w:color="auto" w:sz="8" w:space="0"/>
              <w:right w:val="single" w:color="auto" w:sz="8" w:space="0"/>
            </w:tcBorders>
            <w:shd w:val="clear" w:color="auto" w:fill="FFFFFF"/>
            <w:tcMar>
              <w:left w:w="420" w:type="dxa"/>
              <w:right w:w="120" w:type="dxa"/>
            </w:tcMar>
            <w:vAlign w:val="top"/>
          </w:tcPr>
          <w:p w14:paraId="6ED9A8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b/>
                <w:bCs/>
                <w:i w:val="0"/>
                <w:iCs w:val="0"/>
                <w:caps w:val="0"/>
                <w:snapToGrid w:val="0"/>
                <w:color w:val="000000"/>
                <w:spacing w:val="0"/>
                <w:kern w:val="0"/>
                <w:sz w:val="24"/>
                <w:szCs w:val="24"/>
                <w:lang w:val="en-US" w:eastAsia="zh-CN" w:bidi="ar"/>
              </w:rPr>
              <w:t>1、</w:t>
            </w:r>
          </w:p>
        </w:tc>
        <w:tc>
          <w:tcPr>
            <w:tcW w:w="1716" w:type="dxa"/>
            <w:tcBorders>
              <w:top w:val="single" w:color="auto" w:sz="8" w:space="0"/>
              <w:left w:val="single" w:color="auto" w:sz="8" w:space="0"/>
              <w:bottom w:val="single" w:color="auto" w:sz="8" w:space="0"/>
              <w:right w:val="single" w:color="auto" w:sz="8" w:space="0"/>
            </w:tcBorders>
            <w:shd w:val="clear" w:color="auto" w:fill="FFFFFF"/>
            <w:tcMar>
              <w:left w:w="420" w:type="dxa"/>
              <w:right w:w="120" w:type="dxa"/>
            </w:tcMar>
            <w:vAlign w:val="top"/>
          </w:tcPr>
          <w:p w14:paraId="173BD9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snapToGrid w:val="0"/>
                <w:color w:val="000000"/>
                <w:spacing w:val="0"/>
                <w:kern w:val="0"/>
                <w:sz w:val="24"/>
                <w:szCs w:val="24"/>
                <w:lang w:val="en-US" w:eastAsia="zh-CN" w:bidi="ar"/>
              </w:rPr>
              <w:t>申请费</w:t>
            </w:r>
          </w:p>
        </w:tc>
        <w:tc>
          <w:tcPr>
            <w:tcW w:w="1848" w:type="dxa"/>
            <w:tcBorders>
              <w:top w:val="single" w:color="auto" w:sz="8" w:space="0"/>
              <w:left w:val="single" w:color="auto" w:sz="8" w:space="0"/>
              <w:bottom w:val="single" w:color="auto" w:sz="8" w:space="0"/>
              <w:right w:val="single" w:color="auto" w:sz="8" w:space="0"/>
            </w:tcBorders>
            <w:shd w:val="clear" w:color="auto" w:fill="FFFFFF"/>
            <w:tcMar>
              <w:left w:w="420" w:type="dxa"/>
              <w:right w:w="120" w:type="dxa"/>
            </w:tcMar>
            <w:vAlign w:val="top"/>
          </w:tcPr>
          <w:p w14:paraId="6BA419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snapToGrid w:val="0"/>
                <w:color w:val="000000"/>
                <w:spacing w:val="0"/>
                <w:kern w:val="0"/>
                <w:sz w:val="24"/>
                <w:szCs w:val="24"/>
                <w:lang w:val="en-US" w:eastAsia="zh-CN" w:bidi="ar"/>
              </w:rPr>
              <w:t>1000元</w:t>
            </w:r>
          </w:p>
        </w:tc>
        <w:tc>
          <w:tcPr>
            <w:tcW w:w="2724" w:type="dxa"/>
            <w:tcBorders>
              <w:top w:val="single" w:color="auto" w:sz="8" w:space="0"/>
              <w:left w:val="single" w:color="auto" w:sz="8" w:space="0"/>
              <w:bottom w:val="single" w:color="auto" w:sz="8" w:space="0"/>
              <w:right w:val="single" w:color="auto" w:sz="8" w:space="0"/>
            </w:tcBorders>
            <w:shd w:val="clear" w:color="auto" w:fill="FFFFFF"/>
            <w:tcMar>
              <w:left w:w="420" w:type="dxa"/>
              <w:right w:w="120" w:type="dxa"/>
            </w:tcMar>
            <w:vAlign w:val="top"/>
          </w:tcPr>
          <w:p w14:paraId="15D842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snapToGrid w:val="0"/>
                <w:color w:val="000000"/>
                <w:spacing w:val="0"/>
                <w:kern w:val="0"/>
                <w:sz w:val="24"/>
                <w:szCs w:val="24"/>
                <w:lang w:val="en-US" w:eastAsia="zh-CN" w:bidi="ar"/>
              </w:rPr>
              <w:t> </w:t>
            </w:r>
          </w:p>
        </w:tc>
      </w:tr>
      <w:tr w14:paraId="6B6D01A3">
        <w:tc>
          <w:tcPr>
            <w:tcW w:w="780" w:type="dxa"/>
            <w:tcBorders>
              <w:top w:val="single" w:color="auto" w:sz="8" w:space="0"/>
              <w:left w:val="single" w:color="auto" w:sz="8" w:space="0"/>
              <w:bottom w:val="single" w:color="auto" w:sz="8" w:space="0"/>
              <w:right w:val="single" w:color="auto" w:sz="8" w:space="0"/>
            </w:tcBorders>
            <w:shd w:val="clear" w:color="auto" w:fill="FFFFFF"/>
            <w:tcMar>
              <w:left w:w="420" w:type="dxa"/>
              <w:right w:w="120" w:type="dxa"/>
            </w:tcMar>
            <w:vAlign w:val="top"/>
          </w:tcPr>
          <w:p w14:paraId="1D9C9B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b/>
                <w:bCs/>
                <w:i w:val="0"/>
                <w:iCs w:val="0"/>
                <w:caps w:val="0"/>
                <w:snapToGrid w:val="0"/>
                <w:color w:val="000000"/>
                <w:spacing w:val="0"/>
                <w:kern w:val="0"/>
                <w:sz w:val="24"/>
                <w:szCs w:val="24"/>
                <w:lang w:val="en-US" w:eastAsia="zh-CN" w:bidi="ar"/>
              </w:rPr>
              <w:t>2、</w:t>
            </w:r>
          </w:p>
        </w:tc>
        <w:tc>
          <w:tcPr>
            <w:tcW w:w="1716" w:type="dxa"/>
            <w:tcBorders>
              <w:top w:val="single" w:color="auto" w:sz="8" w:space="0"/>
              <w:left w:val="single" w:color="auto" w:sz="8" w:space="0"/>
              <w:bottom w:val="single" w:color="auto" w:sz="8" w:space="0"/>
              <w:right w:val="single" w:color="auto" w:sz="8" w:space="0"/>
            </w:tcBorders>
            <w:shd w:val="clear" w:color="auto" w:fill="FFFFFF"/>
            <w:tcMar>
              <w:left w:w="420" w:type="dxa"/>
              <w:right w:w="120" w:type="dxa"/>
            </w:tcMar>
            <w:vAlign w:val="top"/>
          </w:tcPr>
          <w:p w14:paraId="2D48D5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snapToGrid w:val="0"/>
                <w:color w:val="000000"/>
                <w:spacing w:val="0"/>
                <w:kern w:val="0"/>
                <w:sz w:val="24"/>
                <w:szCs w:val="24"/>
                <w:lang w:val="en-US" w:eastAsia="zh-CN" w:bidi="ar"/>
              </w:rPr>
              <w:t>审核费</w:t>
            </w:r>
          </w:p>
        </w:tc>
        <w:tc>
          <w:tcPr>
            <w:tcW w:w="1848" w:type="dxa"/>
            <w:tcBorders>
              <w:top w:val="single" w:color="auto" w:sz="8" w:space="0"/>
              <w:left w:val="single" w:color="auto" w:sz="8" w:space="0"/>
              <w:bottom w:val="single" w:color="auto" w:sz="8" w:space="0"/>
              <w:right w:val="single" w:color="auto" w:sz="8" w:space="0"/>
            </w:tcBorders>
            <w:shd w:val="clear" w:color="auto" w:fill="FFFFFF"/>
            <w:tcMar>
              <w:left w:w="420" w:type="dxa"/>
              <w:right w:w="120" w:type="dxa"/>
            </w:tcMar>
            <w:vAlign w:val="top"/>
          </w:tcPr>
          <w:p w14:paraId="54290A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snapToGrid w:val="0"/>
                <w:color w:val="000000"/>
                <w:spacing w:val="0"/>
                <w:kern w:val="0"/>
                <w:sz w:val="24"/>
                <w:szCs w:val="24"/>
                <w:lang w:val="en-US" w:eastAsia="zh-CN" w:bidi="ar"/>
              </w:rPr>
              <w:t>3000/人日</w:t>
            </w:r>
          </w:p>
        </w:tc>
        <w:tc>
          <w:tcPr>
            <w:tcW w:w="2724" w:type="dxa"/>
            <w:tcBorders>
              <w:top w:val="single" w:color="auto" w:sz="8" w:space="0"/>
              <w:left w:val="single" w:color="auto" w:sz="8" w:space="0"/>
              <w:bottom w:val="single" w:color="auto" w:sz="8" w:space="0"/>
              <w:right w:val="single" w:color="auto" w:sz="8" w:space="0"/>
            </w:tcBorders>
            <w:shd w:val="clear" w:color="auto" w:fill="FFFFFF"/>
            <w:tcMar>
              <w:left w:w="420" w:type="dxa"/>
              <w:right w:w="120" w:type="dxa"/>
            </w:tcMar>
            <w:vAlign w:val="top"/>
          </w:tcPr>
          <w:p w14:paraId="5482E02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snapToGrid w:val="0"/>
                <w:color w:val="000000"/>
                <w:spacing w:val="0"/>
                <w:kern w:val="0"/>
                <w:sz w:val="20"/>
                <w:szCs w:val="20"/>
                <w:lang w:val="en-US" w:eastAsia="zh-CN" w:bidi="ar"/>
              </w:rPr>
              <w:t>按所需人日数执行</w:t>
            </w:r>
          </w:p>
        </w:tc>
      </w:tr>
      <w:tr w14:paraId="42FD2A40">
        <w:tc>
          <w:tcPr>
            <w:tcW w:w="780" w:type="dxa"/>
            <w:tcBorders>
              <w:top w:val="single" w:color="auto" w:sz="8" w:space="0"/>
              <w:left w:val="single" w:color="auto" w:sz="8" w:space="0"/>
              <w:bottom w:val="single" w:color="auto" w:sz="8" w:space="0"/>
              <w:right w:val="single" w:color="auto" w:sz="8" w:space="0"/>
            </w:tcBorders>
            <w:shd w:val="clear" w:color="auto" w:fill="FFFFFF"/>
            <w:tcMar>
              <w:left w:w="420" w:type="dxa"/>
              <w:right w:w="120" w:type="dxa"/>
            </w:tcMar>
            <w:vAlign w:val="top"/>
          </w:tcPr>
          <w:p w14:paraId="70B61A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b/>
                <w:bCs/>
                <w:i w:val="0"/>
                <w:iCs w:val="0"/>
                <w:caps w:val="0"/>
                <w:snapToGrid w:val="0"/>
                <w:color w:val="000000"/>
                <w:spacing w:val="0"/>
                <w:kern w:val="0"/>
                <w:sz w:val="24"/>
                <w:szCs w:val="24"/>
                <w:lang w:val="en-US" w:eastAsia="zh-CN" w:bidi="ar"/>
              </w:rPr>
              <w:t>3、</w:t>
            </w:r>
          </w:p>
        </w:tc>
        <w:tc>
          <w:tcPr>
            <w:tcW w:w="1716" w:type="dxa"/>
            <w:tcBorders>
              <w:top w:val="single" w:color="auto" w:sz="8" w:space="0"/>
              <w:left w:val="single" w:color="auto" w:sz="8" w:space="0"/>
              <w:bottom w:val="single" w:color="auto" w:sz="8" w:space="0"/>
              <w:right w:val="single" w:color="auto" w:sz="8" w:space="0"/>
            </w:tcBorders>
            <w:shd w:val="clear" w:color="auto" w:fill="FFFFFF"/>
            <w:tcMar>
              <w:left w:w="420" w:type="dxa"/>
              <w:right w:w="120" w:type="dxa"/>
            </w:tcMar>
            <w:vAlign w:val="top"/>
          </w:tcPr>
          <w:p w14:paraId="09381A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snapToGrid w:val="0"/>
                <w:color w:val="000000"/>
                <w:spacing w:val="0"/>
                <w:kern w:val="0"/>
                <w:sz w:val="24"/>
                <w:szCs w:val="24"/>
                <w:lang w:val="en-US" w:eastAsia="zh-CN" w:bidi="ar"/>
              </w:rPr>
              <w:t>审定与注册费</w:t>
            </w:r>
          </w:p>
        </w:tc>
        <w:tc>
          <w:tcPr>
            <w:tcW w:w="1848" w:type="dxa"/>
            <w:tcBorders>
              <w:top w:val="single" w:color="auto" w:sz="8" w:space="0"/>
              <w:left w:val="single" w:color="auto" w:sz="8" w:space="0"/>
              <w:bottom w:val="single" w:color="auto" w:sz="8" w:space="0"/>
              <w:right w:val="single" w:color="auto" w:sz="8" w:space="0"/>
            </w:tcBorders>
            <w:shd w:val="clear" w:color="auto" w:fill="FFFFFF"/>
            <w:tcMar>
              <w:left w:w="420" w:type="dxa"/>
              <w:right w:w="120" w:type="dxa"/>
            </w:tcMar>
            <w:vAlign w:val="top"/>
          </w:tcPr>
          <w:p w14:paraId="72FED4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snapToGrid w:val="0"/>
                <w:color w:val="000000"/>
                <w:spacing w:val="0"/>
                <w:kern w:val="0"/>
                <w:sz w:val="24"/>
                <w:szCs w:val="24"/>
                <w:lang w:val="en-US" w:eastAsia="zh-CN" w:bidi="ar"/>
              </w:rPr>
              <w:t>2000元</w:t>
            </w:r>
          </w:p>
        </w:tc>
        <w:tc>
          <w:tcPr>
            <w:tcW w:w="2724" w:type="dxa"/>
            <w:tcBorders>
              <w:top w:val="single" w:color="auto" w:sz="8" w:space="0"/>
              <w:left w:val="single" w:color="auto" w:sz="8" w:space="0"/>
              <w:bottom w:val="single" w:color="auto" w:sz="8" w:space="0"/>
              <w:right w:val="single" w:color="auto" w:sz="8" w:space="0"/>
            </w:tcBorders>
            <w:shd w:val="clear" w:color="auto" w:fill="FFFFFF"/>
            <w:tcMar>
              <w:left w:w="420" w:type="dxa"/>
              <w:right w:w="120" w:type="dxa"/>
            </w:tcMar>
            <w:vAlign w:val="top"/>
          </w:tcPr>
          <w:p w14:paraId="13F222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snapToGrid w:val="0"/>
                <w:color w:val="000000"/>
                <w:spacing w:val="0"/>
                <w:kern w:val="0"/>
                <w:sz w:val="20"/>
                <w:szCs w:val="20"/>
                <w:lang w:val="en-US" w:eastAsia="zh-CN" w:bidi="ar"/>
              </w:rPr>
              <w:t>含证书费，每加印一套另收费100元</w:t>
            </w:r>
          </w:p>
        </w:tc>
      </w:tr>
      <w:tr w14:paraId="44E085BD">
        <w:tc>
          <w:tcPr>
            <w:tcW w:w="780" w:type="dxa"/>
            <w:tcBorders>
              <w:top w:val="single" w:color="auto" w:sz="8" w:space="0"/>
              <w:left w:val="single" w:color="auto" w:sz="8" w:space="0"/>
              <w:bottom w:val="single" w:color="auto" w:sz="8" w:space="0"/>
              <w:right w:val="single" w:color="auto" w:sz="8" w:space="0"/>
            </w:tcBorders>
            <w:shd w:val="clear" w:color="auto" w:fill="FFFFFF"/>
            <w:tcMar>
              <w:left w:w="420" w:type="dxa"/>
              <w:right w:w="120" w:type="dxa"/>
            </w:tcMar>
            <w:vAlign w:val="top"/>
          </w:tcPr>
          <w:p w14:paraId="13636F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b/>
                <w:bCs/>
                <w:i w:val="0"/>
                <w:iCs w:val="0"/>
                <w:caps w:val="0"/>
                <w:snapToGrid w:val="0"/>
                <w:color w:val="000000"/>
                <w:spacing w:val="0"/>
                <w:kern w:val="0"/>
                <w:sz w:val="24"/>
                <w:szCs w:val="24"/>
                <w:lang w:val="en-US" w:eastAsia="zh-CN" w:bidi="ar"/>
              </w:rPr>
              <w:t>4、</w:t>
            </w:r>
          </w:p>
        </w:tc>
        <w:tc>
          <w:tcPr>
            <w:tcW w:w="1716" w:type="dxa"/>
            <w:tcBorders>
              <w:top w:val="single" w:color="auto" w:sz="8" w:space="0"/>
              <w:left w:val="single" w:color="auto" w:sz="8" w:space="0"/>
              <w:bottom w:val="single" w:color="auto" w:sz="8" w:space="0"/>
              <w:right w:val="single" w:color="auto" w:sz="8" w:space="0"/>
            </w:tcBorders>
            <w:shd w:val="clear" w:color="auto" w:fill="FFFFFF"/>
            <w:tcMar>
              <w:left w:w="420" w:type="dxa"/>
              <w:right w:w="120" w:type="dxa"/>
            </w:tcMar>
            <w:vAlign w:val="top"/>
          </w:tcPr>
          <w:p w14:paraId="29103B0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snapToGrid w:val="0"/>
                <w:color w:val="000000"/>
                <w:spacing w:val="0"/>
                <w:kern w:val="0"/>
                <w:sz w:val="24"/>
                <w:szCs w:val="24"/>
                <w:lang w:val="en-US" w:eastAsia="zh-CN" w:bidi="ar"/>
              </w:rPr>
              <w:t>监督审核费</w:t>
            </w:r>
          </w:p>
        </w:tc>
        <w:tc>
          <w:tcPr>
            <w:tcW w:w="1848" w:type="dxa"/>
            <w:tcBorders>
              <w:top w:val="single" w:color="auto" w:sz="8" w:space="0"/>
              <w:left w:val="single" w:color="auto" w:sz="8" w:space="0"/>
              <w:bottom w:val="single" w:color="auto" w:sz="8" w:space="0"/>
              <w:right w:val="single" w:color="auto" w:sz="8" w:space="0"/>
            </w:tcBorders>
            <w:shd w:val="clear" w:color="auto" w:fill="FFFFFF"/>
            <w:tcMar>
              <w:left w:w="420" w:type="dxa"/>
              <w:right w:w="120" w:type="dxa"/>
            </w:tcMar>
            <w:vAlign w:val="top"/>
          </w:tcPr>
          <w:p w14:paraId="7378B9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snapToGrid w:val="0"/>
                <w:color w:val="000000"/>
                <w:spacing w:val="0"/>
                <w:kern w:val="0"/>
                <w:sz w:val="24"/>
                <w:szCs w:val="24"/>
                <w:lang w:val="en-US" w:eastAsia="zh-CN" w:bidi="ar"/>
              </w:rPr>
              <w:t>3000元/人日</w:t>
            </w:r>
          </w:p>
        </w:tc>
        <w:tc>
          <w:tcPr>
            <w:tcW w:w="2724" w:type="dxa"/>
            <w:tcBorders>
              <w:top w:val="single" w:color="auto" w:sz="8" w:space="0"/>
              <w:left w:val="single" w:color="auto" w:sz="8" w:space="0"/>
              <w:bottom w:val="single" w:color="auto" w:sz="8" w:space="0"/>
              <w:right w:val="single" w:color="auto" w:sz="8" w:space="0"/>
            </w:tcBorders>
            <w:shd w:val="clear" w:color="auto" w:fill="FFFFFF"/>
            <w:tcMar>
              <w:left w:w="420" w:type="dxa"/>
              <w:right w:w="120" w:type="dxa"/>
            </w:tcMar>
            <w:vAlign w:val="top"/>
          </w:tcPr>
          <w:p w14:paraId="753109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snapToGrid w:val="0"/>
                <w:color w:val="000000"/>
                <w:spacing w:val="0"/>
                <w:kern w:val="0"/>
                <w:sz w:val="20"/>
                <w:szCs w:val="20"/>
                <w:lang w:val="en-US" w:eastAsia="zh-CN" w:bidi="ar"/>
              </w:rPr>
              <w:t>按所需人日数执行</w:t>
            </w:r>
          </w:p>
        </w:tc>
      </w:tr>
      <w:tr w14:paraId="3474CC85">
        <w:tc>
          <w:tcPr>
            <w:tcW w:w="780" w:type="dxa"/>
            <w:tcBorders>
              <w:top w:val="single" w:color="auto" w:sz="8" w:space="0"/>
              <w:left w:val="single" w:color="auto" w:sz="8" w:space="0"/>
              <w:bottom w:val="single" w:color="auto" w:sz="8" w:space="0"/>
              <w:right w:val="single" w:color="auto" w:sz="8" w:space="0"/>
            </w:tcBorders>
            <w:shd w:val="clear" w:color="auto" w:fill="FFFFFF"/>
            <w:tcMar>
              <w:left w:w="420" w:type="dxa"/>
              <w:right w:w="120" w:type="dxa"/>
            </w:tcMar>
            <w:vAlign w:val="top"/>
          </w:tcPr>
          <w:p w14:paraId="4EED76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b/>
                <w:bCs/>
                <w:i w:val="0"/>
                <w:iCs w:val="0"/>
                <w:caps w:val="0"/>
                <w:snapToGrid w:val="0"/>
                <w:color w:val="000000"/>
                <w:spacing w:val="0"/>
                <w:kern w:val="0"/>
                <w:sz w:val="24"/>
                <w:szCs w:val="24"/>
                <w:lang w:val="en-US" w:eastAsia="zh-CN" w:bidi="ar"/>
              </w:rPr>
              <w:t>5、</w:t>
            </w:r>
          </w:p>
        </w:tc>
        <w:tc>
          <w:tcPr>
            <w:tcW w:w="1716" w:type="dxa"/>
            <w:tcBorders>
              <w:top w:val="single" w:color="auto" w:sz="8" w:space="0"/>
              <w:left w:val="single" w:color="auto" w:sz="8" w:space="0"/>
              <w:bottom w:val="single" w:color="auto" w:sz="8" w:space="0"/>
              <w:right w:val="single" w:color="auto" w:sz="8" w:space="0"/>
            </w:tcBorders>
            <w:shd w:val="clear" w:color="auto" w:fill="FFFFFF"/>
            <w:tcMar>
              <w:left w:w="420" w:type="dxa"/>
              <w:right w:w="120" w:type="dxa"/>
            </w:tcMar>
            <w:vAlign w:val="top"/>
          </w:tcPr>
          <w:p w14:paraId="0EB6829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snapToGrid w:val="0"/>
                <w:color w:val="000000"/>
                <w:spacing w:val="0"/>
                <w:kern w:val="0"/>
                <w:sz w:val="24"/>
                <w:szCs w:val="24"/>
                <w:lang w:val="en-US" w:eastAsia="zh-CN" w:bidi="ar"/>
              </w:rPr>
              <w:t>年金</w:t>
            </w:r>
          </w:p>
        </w:tc>
        <w:tc>
          <w:tcPr>
            <w:tcW w:w="1848" w:type="dxa"/>
            <w:tcBorders>
              <w:top w:val="single" w:color="auto" w:sz="8" w:space="0"/>
              <w:left w:val="single" w:color="auto" w:sz="8" w:space="0"/>
              <w:bottom w:val="single" w:color="auto" w:sz="8" w:space="0"/>
              <w:right w:val="single" w:color="auto" w:sz="8" w:space="0"/>
            </w:tcBorders>
            <w:shd w:val="clear" w:color="auto" w:fill="FFFFFF"/>
            <w:tcMar>
              <w:left w:w="420" w:type="dxa"/>
              <w:right w:w="120" w:type="dxa"/>
            </w:tcMar>
            <w:vAlign w:val="top"/>
          </w:tcPr>
          <w:p w14:paraId="424D9A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snapToGrid w:val="0"/>
                <w:color w:val="000000"/>
                <w:spacing w:val="0"/>
                <w:kern w:val="0"/>
                <w:sz w:val="24"/>
                <w:szCs w:val="24"/>
                <w:lang w:val="en-US" w:eastAsia="zh-CN" w:bidi="ar"/>
              </w:rPr>
              <w:t>2000元</w:t>
            </w:r>
          </w:p>
        </w:tc>
        <w:tc>
          <w:tcPr>
            <w:tcW w:w="2724" w:type="dxa"/>
            <w:tcBorders>
              <w:top w:val="single" w:color="auto" w:sz="8" w:space="0"/>
              <w:left w:val="single" w:color="auto" w:sz="8" w:space="0"/>
              <w:bottom w:val="single" w:color="auto" w:sz="8" w:space="0"/>
              <w:right w:val="single" w:color="auto" w:sz="8" w:space="0"/>
            </w:tcBorders>
            <w:shd w:val="clear" w:color="auto" w:fill="FFFFFF"/>
            <w:tcMar>
              <w:left w:w="420" w:type="dxa"/>
              <w:right w:w="120" w:type="dxa"/>
            </w:tcMar>
            <w:vAlign w:val="top"/>
          </w:tcPr>
          <w:p w14:paraId="2A9CC2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snapToGrid w:val="0"/>
                <w:color w:val="000000"/>
                <w:spacing w:val="0"/>
                <w:kern w:val="0"/>
                <w:sz w:val="20"/>
                <w:szCs w:val="20"/>
                <w:lang w:val="en-US" w:eastAsia="zh-CN" w:bidi="ar"/>
              </w:rPr>
              <w:t>含标志使用费，每年交纳一次</w:t>
            </w:r>
          </w:p>
        </w:tc>
      </w:tr>
      <w:tr w14:paraId="1279973D">
        <w:tc>
          <w:tcPr>
            <w:tcW w:w="780" w:type="dxa"/>
            <w:tcBorders>
              <w:top w:val="single" w:color="auto" w:sz="8" w:space="0"/>
              <w:left w:val="single" w:color="auto" w:sz="8" w:space="0"/>
              <w:bottom w:val="single" w:color="auto" w:sz="8" w:space="0"/>
              <w:right w:val="single" w:color="auto" w:sz="8" w:space="0"/>
            </w:tcBorders>
            <w:shd w:val="clear" w:color="auto" w:fill="FFFFFF"/>
            <w:tcMar>
              <w:left w:w="420" w:type="dxa"/>
              <w:right w:w="120" w:type="dxa"/>
            </w:tcMar>
            <w:vAlign w:val="top"/>
          </w:tcPr>
          <w:p w14:paraId="059C78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b/>
                <w:bCs/>
                <w:i w:val="0"/>
                <w:iCs w:val="0"/>
                <w:caps w:val="0"/>
                <w:snapToGrid w:val="0"/>
                <w:color w:val="000000"/>
                <w:spacing w:val="0"/>
                <w:kern w:val="0"/>
                <w:sz w:val="24"/>
                <w:szCs w:val="24"/>
                <w:lang w:val="en-US" w:eastAsia="zh-CN" w:bidi="ar"/>
              </w:rPr>
              <w:t>6、</w:t>
            </w:r>
          </w:p>
        </w:tc>
        <w:tc>
          <w:tcPr>
            <w:tcW w:w="1716" w:type="dxa"/>
            <w:tcBorders>
              <w:top w:val="single" w:color="auto" w:sz="8" w:space="0"/>
              <w:left w:val="single" w:color="auto" w:sz="8" w:space="0"/>
              <w:bottom w:val="single" w:color="auto" w:sz="8" w:space="0"/>
              <w:right w:val="single" w:color="auto" w:sz="8" w:space="0"/>
            </w:tcBorders>
            <w:shd w:val="clear" w:color="auto" w:fill="FFFFFF"/>
            <w:tcMar>
              <w:left w:w="420" w:type="dxa"/>
              <w:right w:w="120" w:type="dxa"/>
            </w:tcMar>
            <w:vAlign w:val="top"/>
          </w:tcPr>
          <w:p w14:paraId="54D4DC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snapToGrid w:val="0"/>
                <w:color w:val="000000"/>
                <w:spacing w:val="0"/>
                <w:kern w:val="0"/>
                <w:sz w:val="24"/>
                <w:szCs w:val="24"/>
                <w:lang w:val="en-US" w:eastAsia="zh-CN" w:bidi="ar"/>
              </w:rPr>
              <w:t>换证费</w:t>
            </w:r>
          </w:p>
        </w:tc>
        <w:tc>
          <w:tcPr>
            <w:tcW w:w="1848" w:type="dxa"/>
            <w:tcBorders>
              <w:top w:val="single" w:color="auto" w:sz="8" w:space="0"/>
              <w:left w:val="single" w:color="auto" w:sz="8" w:space="0"/>
              <w:bottom w:val="single" w:color="auto" w:sz="8" w:space="0"/>
              <w:right w:val="single" w:color="auto" w:sz="8" w:space="0"/>
            </w:tcBorders>
            <w:shd w:val="clear" w:color="auto" w:fill="FFFFFF"/>
            <w:tcMar>
              <w:left w:w="420" w:type="dxa"/>
              <w:right w:w="120" w:type="dxa"/>
            </w:tcMar>
            <w:vAlign w:val="top"/>
          </w:tcPr>
          <w:p w14:paraId="7EF802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snapToGrid w:val="0"/>
                <w:color w:val="000000"/>
                <w:spacing w:val="0"/>
                <w:kern w:val="0"/>
                <w:sz w:val="24"/>
                <w:szCs w:val="24"/>
                <w:lang w:val="en-US" w:eastAsia="zh-CN" w:bidi="ar"/>
              </w:rPr>
              <w:t>200元</w:t>
            </w:r>
          </w:p>
        </w:tc>
        <w:tc>
          <w:tcPr>
            <w:tcW w:w="2724" w:type="dxa"/>
            <w:tcBorders>
              <w:top w:val="single" w:color="auto" w:sz="8" w:space="0"/>
              <w:left w:val="single" w:color="auto" w:sz="8" w:space="0"/>
              <w:bottom w:val="single" w:color="auto" w:sz="8" w:space="0"/>
              <w:right w:val="single" w:color="auto" w:sz="8" w:space="0"/>
            </w:tcBorders>
            <w:shd w:val="clear" w:color="auto" w:fill="FFFFFF"/>
            <w:tcMar>
              <w:left w:w="420" w:type="dxa"/>
              <w:right w:w="120" w:type="dxa"/>
            </w:tcMar>
            <w:vAlign w:val="top"/>
          </w:tcPr>
          <w:p w14:paraId="22F4EA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snapToGrid w:val="0"/>
                <w:color w:val="000000"/>
                <w:spacing w:val="0"/>
                <w:kern w:val="0"/>
                <w:sz w:val="20"/>
                <w:szCs w:val="20"/>
                <w:lang w:val="en-US" w:eastAsia="zh-CN" w:bidi="ar"/>
              </w:rPr>
              <w:t>变更证书内容，更换证书。</w:t>
            </w:r>
          </w:p>
        </w:tc>
      </w:tr>
      <w:tr w14:paraId="442297A6">
        <w:tc>
          <w:tcPr>
            <w:tcW w:w="780" w:type="dxa"/>
            <w:tcBorders>
              <w:top w:val="single" w:color="auto" w:sz="8" w:space="0"/>
              <w:left w:val="single" w:color="auto" w:sz="8" w:space="0"/>
              <w:bottom w:val="single" w:color="auto" w:sz="8" w:space="0"/>
              <w:right w:val="single" w:color="auto" w:sz="8" w:space="0"/>
            </w:tcBorders>
            <w:shd w:val="clear" w:color="auto" w:fill="FFFFFF"/>
            <w:tcMar>
              <w:left w:w="420" w:type="dxa"/>
              <w:right w:w="120" w:type="dxa"/>
            </w:tcMar>
            <w:vAlign w:val="top"/>
          </w:tcPr>
          <w:p w14:paraId="49296A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b/>
                <w:bCs/>
                <w:i w:val="0"/>
                <w:iCs w:val="0"/>
                <w:caps w:val="0"/>
                <w:snapToGrid w:val="0"/>
                <w:color w:val="000000"/>
                <w:spacing w:val="0"/>
                <w:kern w:val="0"/>
                <w:sz w:val="24"/>
                <w:szCs w:val="24"/>
                <w:lang w:val="en-US" w:eastAsia="zh-CN" w:bidi="ar"/>
              </w:rPr>
              <w:t>7、</w:t>
            </w:r>
          </w:p>
        </w:tc>
        <w:tc>
          <w:tcPr>
            <w:tcW w:w="1716" w:type="dxa"/>
            <w:tcBorders>
              <w:top w:val="single" w:color="auto" w:sz="8" w:space="0"/>
              <w:left w:val="single" w:color="auto" w:sz="8" w:space="0"/>
              <w:bottom w:val="single" w:color="auto" w:sz="8" w:space="0"/>
              <w:right w:val="single" w:color="auto" w:sz="8" w:space="0"/>
            </w:tcBorders>
            <w:shd w:val="clear" w:color="auto" w:fill="FFFFFF"/>
            <w:tcMar>
              <w:left w:w="420" w:type="dxa"/>
              <w:right w:w="120" w:type="dxa"/>
            </w:tcMar>
            <w:vAlign w:val="top"/>
          </w:tcPr>
          <w:p w14:paraId="60521A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snapToGrid w:val="0"/>
                <w:color w:val="000000"/>
                <w:spacing w:val="0"/>
                <w:kern w:val="0"/>
                <w:sz w:val="24"/>
                <w:szCs w:val="24"/>
                <w:lang w:val="en-US" w:eastAsia="zh-CN" w:bidi="ar"/>
              </w:rPr>
              <w:t>翻译费</w:t>
            </w:r>
          </w:p>
        </w:tc>
        <w:tc>
          <w:tcPr>
            <w:tcW w:w="1848" w:type="dxa"/>
            <w:tcBorders>
              <w:top w:val="single" w:color="auto" w:sz="8" w:space="0"/>
              <w:left w:val="single" w:color="auto" w:sz="8" w:space="0"/>
              <w:bottom w:val="single" w:color="auto" w:sz="8" w:space="0"/>
              <w:right w:val="single" w:color="auto" w:sz="8" w:space="0"/>
            </w:tcBorders>
            <w:shd w:val="clear" w:color="auto" w:fill="FFFFFF"/>
            <w:tcMar>
              <w:left w:w="420" w:type="dxa"/>
              <w:right w:w="120" w:type="dxa"/>
            </w:tcMar>
            <w:vAlign w:val="top"/>
          </w:tcPr>
          <w:p w14:paraId="7716EB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snapToGrid w:val="0"/>
                <w:color w:val="000000"/>
                <w:spacing w:val="0"/>
                <w:kern w:val="0"/>
                <w:sz w:val="24"/>
                <w:szCs w:val="24"/>
                <w:lang w:val="en-US" w:eastAsia="zh-CN" w:bidi="ar"/>
              </w:rPr>
              <w:t>300元</w:t>
            </w:r>
          </w:p>
        </w:tc>
        <w:tc>
          <w:tcPr>
            <w:tcW w:w="2724" w:type="dxa"/>
            <w:tcBorders>
              <w:top w:val="single" w:color="auto" w:sz="8" w:space="0"/>
              <w:left w:val="single" w:color="auto" w:sz="8" w:space="0"/>
              <w:bottom w:val="single" w:color="auto" w:sz="8" w:space="0"/>
              <w:right w:val="single" w:color="auto" w:sz="8" w:space="0"/>
            </w:tcBorders>
            <w:shd w:val="clear" w:color="auto" w:fill="FFFFFF"/>
            <w:tcMar>
              <w:left w:w="420" w:type="dxa"/>
              <w:right w:w="120" w:type="dxa"/>
            </w:tcMar>
            <w:vAlign w:val="top"/>
          </w:tcPr>
          <w:p w14:paraId="69A892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snapToGrid w:val="0"/>
                <w:color w:val="000000"/>
                <w:spacing w:val="0"/>
                <w:kern w:val="0"/>
                <w:sz w:val="20"/>
                <w:szCs w:val="20"/>
                <w:lang w:val="en-US" w:eastAsia="zh-CN" w:bidi="ar"/>
              </w:rPr>
              <w:t>以YB的翻译为准</w:t>
            </w:r>
          </w:p>
        </w:tc>
      </w:tr>
      <w:tr w14:paraId="16019D4A">
        <w:tc>
          <w:tcPr>
            <w:tcW w:w="780" w:type="dxa"/>
            <w:tcBorders>
              <w:top w:val="single" w:color="auto" w:sz="8" w:space="0"/>
              <w:left w:val="single" w:color="auto" w:sz="8" w:space="0"/>
              <w:bottom w:val="single" w:color="auto" w:sz="8" w:space="0"/>
              <w:right w:val="single" w:color="auto" w:sz="8" w:space="0"/>
            </w:tcBorders>
            <w:shd w:val="clear" w:color="auto" w:fill="FFFFFF"/>
            <w:tcMar>
              <w:left w:w="420" w:type="dxa"/>
              <w:right w:w="120" w:type="dxa"/>
            </w:tcMar>
            <w:vAlign w:val="top"/>
          </w:tcPr>
          <w:p w14:paraId="7A16F6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b/>
                <w:bCs/>
                <w:i w:val="0"/>
                <w:iCs w:val="0"/>
                <w:caps w:val="0"/>
                <w:snapToGrid w:val="0"/>
                <w:color w:val="000000"/>
                <w:spacing w:val="0"/>
                <w:kern w:val="0"/>
                <w:sz w:val="24"/>
                <w:szCs w:val="24"/>
                <w:lang w:val="en-US" w:eastAsia="zh-CN" w:bidi="ar"/>
              </w:rPr>
              <w:t>8、</w:t>
            </w:r>
          </w:p>
        </w:tc>
        <w:tc>
          <w:tcPr>
            <w:tcW w:w="1716" w:type="dxa"/>
            <w:tcBorders>
              <w:top w:val="single" w:color="auto" w:sz="8" w:space="0"/>
              <w:left w:val="single" w:color="auto" w:sz="8" w:space="0"/>
              <w:bottom w:val="single" w:color="auto" w:sz="8" w:space="0"/>
              <w:right w:val="single" w:color="auto" w:sz="8" w:space="0"/>
            </w:tcBorders>
            <w:shd w:val="clear" w:color="auto" w:fill="FFFFFF"/>
            <w:tcMar>
              <w:left w:w="420" w:type="dxa"/>
              <w:right w:w="120" w:type="dxa"/>
            </w:tcMar>
            <w:vAlign w:val="top"/>
          </w:tcPr>
          <w:p w14:paraId="1ADB5A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snapToGrid w:val="0"/>
                <w:color w:val="000000"/>
                <w:spacing w:val="0"/>
                <w:kern w:val="0"/>
                <w:sz w:val="24"/>
                <w:szCs w:val="24"/>
                <w:lang w:val="en-US" w:eastAsia="zh-CN" w:bidi="ar"/>
              </w:rPr>
              <w:t>扩大范围</w:t>
            </w:r>
          </w:p>
        </w:tc>
        <w:tc>
          <w:tcPr>
            <w:tcW w:w="1848" w:type="dxa"/>
            <w:tcBorders>
              <w:top w:val="single" w:color="auto" w:sz="8" w:space="0"/>
              <w:left w:val="single" w:color="auto" w:sz="8" w:space="0"/>
              <w:bottom w:val="single" w:color="auto" w:sz="8" w:space="0"/>
              <w:right w:val="single" w:color="auto" w:sz="8" w:space="0"/>
            </w:tcBorders>
            <w:shd w:val="clear" w:color="auto" w:fill="FFFFFF"/>
            <w:tcMar>
              <w:left w:w="420" w:type="dxa"/>
              <w:right w:w="120" w:type="dxa"/>
            </w:tcMar>
            <w:vAlign w:val="top"/>
          </w:tcPr>
          <w:p w14:paraId="23B423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snapToGrid w:val="0"/>
                <w:color w:val="000000"/>
                <w:spacing w:val="0"/>
                <w:kern w:val="0"/>
                <w:sz w:val="24"/>
                <w:szCs w:val="24"/>
                <w:lang w:val="en-US" w:eastAsia="zh-CN" w:bidi="ar"/>
              </w:rPr>
              <w:t>3000元/人日</w:t>
            </w:r>
          </w:p>
        </w:tc>
        <w:tc>
          <w:tcPr>
            <w:tcW w:w="2724" w:type="dxa"/>
            <w:tcBorders>
              <w:top w:val="single" w:color="auto" w:sz="8" w:space="0"/>
              <w:left w:val="single" w:color="auto" w:sz="8" w:space="0"/>
              <w:bottom w:val="single" w:color="auto" w:sz="8" w:space="0"/>
              <w:right w:val="single" w:color="auto" w:sz="8" w:space="0"/>
            </w:tcBorders>
            <w:shd w:val="clear" w:color="auto" w:fill="FFFFFF"/>
            <w:tcMar>
              <w:left w:w="420" w:type="dxa"/>
              <w:right w:w="120" w:type="dxa"/>
            </w:tcMar>
            <w:vAlign w:val="top"/>
          </w:tcPr>
          <w:p w14:paraId="3F37F4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snapToGrid w:val="0"/>
                <w:color w:val="000000"/>
                <w:spacing w:val="0"/>
                <w:kern w:val="0"/>
                <w:sz w:val="20"/>
                <w:szCs w:val="20"/>
                <w:lang w:val="en-US" w:eastAsia="zh-CN" w:bidi="ar"/>
              </w:rPr>
              <w:t>按所需人日数执行</w:t>
            </w:r>
          </w:p>
        </w:tc>
      </w:tr>
      <w:tr w14:paraId="52812291">
        <w:tc>
          <w:tcPr>
            <w:tcW w:w="780" w:type="dxa"/>
            <w:tcBorders>
              <w:top w:val="single" w:color="auto" w:sz="8" w:space="0"/>
              <w:left w:val="single" w:color="auto" w:sz="8" w:space="0"/>
              <w:bottom w:val="single" w:color="auto" w:sz="8" w:space="0"/>
              <w:right w:val="single" w:color="auto" w:sz="8" w:space="0"/>
            </w:tcBorders>
            <w:shd w:val="clear" w:color="auto" w:fill="FFFFFF"/>
            <w:tcMar>
              <w:left w:w="420" w:type="dxa"/>
              <w:right w:w="120" w:type="dxa"/>
            </w:tcMar>
            <w:vAlign w:val="top"/>
          </w:tcPr>
          <w:p w14:paraId="38B2C2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b/>
                <w:bCs/>
                <w:i w:val="0"/>
                <w:iCs w:val="0"/>
                <w:caps w:val="0"/>
                <w:snapToGrid w:val="0"/>
                <w:color w:val="000000"/>
                <w:spacing w:val="0"/>
                <w:kern w:val="0"/>
                <w:sz w:val="24"/>
                <w:szCs w:val="24"/>
                <w:lang w:val="en-US" w:eastAsia="zh-CN" w:bidi="ar"/>
              </w:rPr>
              <w:t>9、</w:t>
            </w:r>
          </w:p>
        </w:tc>
        <w:tc>
          <w:tcPr>
            <w:tcW w:w="1716" w:type="dxa"/>
            <w:tcBorders>
              <w:top w:val="single" w:color="auto" w:sz="8" w:space="0"/>
              <w:left w:val="single" w:color="auto" w:sz="8" w:space="0"/>
              <w:bottom w:val="single" w:color="auto" w:sz="8" w:space="0"/>
              <w:right w:val="single" w:color="auto" w:sz="8" w:space="0"/>
            </w:tcBorders>
            <w:shd w:val="clear" w:color="auto" w:fill="FFFFFF"/>
            <w:tcMar>
              <w:left w:w="420" w:type="dxa"/>
              <w:right w:w="120" w:type="dxa"/>
            </w:tcMar>
            <w:vAlign w:val="top"/>
          </w:tcPr>
          <w:p w14:paraId="3DC3B5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snapToGrid w:val="0"/>
                <w:color w:val="000000"/>
                <w:spacing w:val="0"/>
                <w:kern w:val="0"/>
                <w:sz w:val="24"/>
                <w:szCs w:val="24"/>
                <w:lang w:val="en-US" w:eastAsia="zh-CN" w:bidi="ar"/>
              </w:rPr>
              <w:t>审核员差旅费</w:t>
            </w:r>
          </w:p>
        </w:tc>
        <w:tc>
          <w:tcPr>
            <w:tcW w:w="4572" w:type="dxa"/>
            <w:gridSpan w:val="2"/>
            <w:tcBorders>
              <w:top w:val="single" w:color="auto" w:sz="8" w:space="0"/>
              <w:left w:val="single" w:color="auto" w:sz="8" w:space="0"/>
              <w:bottom w:val="single" w:color="auto" w:sz="8" w:space="0"/>
              <w:right w:val="single" w:color="auto" w:sz="8" w:space="0"/>
            </w:tcBorders>
            <w:shd w:val="clear" w:color="auto" w:fill="FFFFFF"/>
            <w:tcMar>
              <w:left w:w="420" w:type="dxa"/>
              <w:right w:w="120" w:type="dxa"/>
            </w:tcMar>
            <w:vAlign w:val="top"/>
          </w:tcPr>
          <w:p w14:paraId="07B8554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snapToGrid w:val="0"/>
                <w:color w:val="000000"/>
                <w:spacing w:val="0"/>
                <w:kern w:val="0"/>
                <w:sz w:val="20"/>
                <w:szCs w:val="20"/>
                <w:lang w:val="en-US" w:eastAsia="zh-CN" w:bidi="ar"/>
              </w:rPr>
              <w:t>根据审核组成员实际支出支付</w:t>
            </w:r>
          </w:p>
        </w:tc>
      </w:tr>
    </w:tbl>
    <w:p w14:paraId="52A1C90C">
      <w:pPr>
        <w:pStyle w:val="2"/>
        <w:rPr>
          <w:rFonts w:hint="eastAsia" w:ascii="宋体" w:hAnsi="宋体" w:eastAsia="宋体" w:cs="宋体"/>
          <w:spacing w:val="-2"/>
          <w:sz w:val="28"/>
          <w:szCs w:val="28"/>
          <w:lang w:val="en-US" w:eastAsia="zh-CN"/>
        </w:rPr>
      </w:pPr>
    </w:p>
    <w:sectPr>
      <w:pgSz w:w="11907" w:h="16839"/>
      <w:pgMar w:top="568" w:right="1133" w:bottom="0" w:left="1020"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楷体">
    <w:altName w:val="汉仪楷体KW"/>
    <w:panose1 w:val="02010609060101010101"/>
    <w:charset w:val="86"/>
    <w:family w:val="auto"/>
    <w:pitch w:val="default"/>
    <w:sig w:usb0="00000000" w:usb1="00000000" w:usb2="00000016"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 w:name="等线">
    <w:altName w:val="汉仪中等线KW"/>
    <w:panose1 w:val="02010600030101010101"/>
    <w:charset w:val="86"/>
    <w:family w:val="auto"/>
    <w:pitch w:val="default"/>
    <w:sig w:usb0="00000000" w:usb1="00000000" w:usb2="00000016" w:usb3="00000000" w:csb0="0004000F" w:csb1="00000000"/>
  </w:font>
  <w:font w:name="微软雅黑">
    <w:altName w:val="汉仪旗黑"/>
    <w:panose1 w:val="020B0503020204020204"/>
    <w:charset w:val="86"/>
    <w:family w:val="auto"/>
    <w:pitch w:val="default"/>
    <w:sig w:usb0="00000000" w:usb1="00000000" w:usb2="00000016" w:usb3="00000000" w:csb0="0004001F" w:csb1="00000000"/>
  </w:font>
  <w:font w:name="汉仪书宋二KW">
    <w:panose1 w:val="00020600040101010101"/>
    <w:charset w:val="86"/>
    <w:family w:val="auto"/>
    <w:pitch w:val="default"/>
    <w:sig w:usb0="A00002BF" w:usb1="18EF7CFA" w:usb2="00000016" w:usb3="00000000" w:csb0="00040000" w:csb1="00000000"/>
  </w:font>
  <w:font w:name="汉仪楷体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冬青黑体简体中文">
    <w:panose1 w:val="020B0300000000000000"/>
    <w:charset w:val="86"/>
    <w:family w:val="auto"/>
    <w:pitch w:val="default"/>
    <w:sig w:usb0="A00002BF" w:usb1="1ACF7CFA" w:usb2="00000016" w:usb3="00000000" w:csb0="00060007" w:csb1="00000000"/>
  </w:font>
  <w:font w:name="汉仪中等线KW">
    <w:panose1 w:val="01010104010101010101"/>
    <w:charset w:val="86"/>
    <w:family w:val="auto"/>
    <w:pitch w:val="default"/>
    <w:sig w:usb0="800002BF" w:usb1="004F7CFA" w:usb2="00000000" w:usb3="00000000" w:csb0="00040001"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汉仪旗黑">
    <w:panose1 w:val="00020600040101010101"/>
    <w:charset w:val="86"/>
    <w:family w:val="auto"/>
    <w:pitch w:val="default"/>
    <w:sig w:usb0="A00002BF" w:usb1="1ACF7CFA" w:usb2="00000016" w:usb3="00000000" w:csb0="0004009F" w:csb1="DFD70000"/>
  </w:font>
  <w:font w:name="宋体-简">
    <w:panose1 w:val="02010800040101010101"/>
    <w:charset w:val="86"/>
    <w:family w:val="auto"/>
    <w:pitch w:val="default"/>
    <w:sig w:usb0="00000001" w:usb1="080F0000" w:usb2="00000000" w:usb3="00000000" w:csb0="00040000" w:csb1="00000000"/>
  </w:font>
  <w:font w:name="KaiTi">
    <w:altName w:val="汉仪楷体KW"/>
    <w:panose1 w:val="00000000000000000000"/>
    <w:charset w:val="00"/>
    <w:family w:val="auto"/>
    <w:pitch w:val="default"/>
    <w:sig w:usb0="00000000" w:usb1="00000000" w:usb2="00000000" w:usb3="00000000" w:csb0="00000000" w:csb1="00000000"/>
  </w:font>
  <w:font w:name="FangSong">
    <w:altName w:val="方正仿宋_GBK"/>
    <w:panose1 w:val="00000000000000000000"/>
    <w:charset w:val="00"/>
    <w:family w:val="auto"/>
    <w:pitch w:val="default"/>
    <w:sig w:usb0="00000000" w:usb1="00000000" w:usb2="00000000" w:usb3="00000000" w:csb0="00000000" w:csb1="00000000"/>
  </w:font>
  <w:font w:name="arial">
    <w:panose1 w:val="020B0604020202090204"/>
    <w:charset w:val="00"/>
    <w:family w:val="auto"/>
    <w:pitch w:val="default"/>
    <w:sig w:usb0="E0000AFF" w:usb1="00007843" w:usb2="00000001" w:usb3="00000000" w:csb0="400001BF" w:csb1="DFF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1"/>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ZjFmZWIzNDg2MmIzZjExOTIzMmViNTBmYTMwYTk0ZWYifQ=="/>
  </w:docVars>
  <w:rsids>
    <w:rsidRoot w:val="00000000"/>
    <w:rsid w:val="00A2611C"/>
    <w:rsid w:val="01E7687A"/>
    <w:rsid w:val="02DE2654"/>
    <w:rsid w:val="03343D40"/>
    <w:rsid w:val="03653EFA"/>
    <w:rsid w:val="04284263"/>
    <w:rsid w:val="049752DD"/>
    <w:rsid w:val="05453082"/>
    <w:rsid w:val="05FD32C9"/>
    <w:rsid w:val="066B372C"/>
    <w:rsid w:val="07416A2C"/>
    <w:rsid w:val="0AA55524"/>
    <w:rsid w:val="0B330637"/>
    <w:rsid w:val="0E6B06EC"/>
    <w:rsid w:val="110C5E1F"/>
    <w:rsid w:val="11360C84"/>
    <w:rsid w:val="15430D7A"/>
    <w:rsid w:val="166A6500"/>
    <w:rsid w:val="16C429D7"/>
    <w:rsid w:val="17E146F8"/>
    <w:rsid w:val="189251AA"/>
    <w:rsid w:val="198804EA"/>
    <w:rsid w:val="19D86F3F"/>
    <w:rsid w:val="1C093B64"/>
    <w:rsid w:val="1D4D182F"/>
    <w:rsid w:val="1D530C71"/>
    <w:rsid w:val="1EB1137C"/>
    <w:rsid w:val="1FD37C06"/>
    <w:rsid w:val="1FF72257"/>
    <w:rsid w:val="22A410E4"/>
    <w:rsid w:val="27090EBD"/>
    <w:rsid w:val="273163EC"/>
    <w:rsid w:val="286A598B"/>
    <w:rsid w:val="29466370"/>
    <w:rsid w:val="294B77A1"/>
    <w:rsid w:val="2B37341D"/>
    <w:rsid w:val="2BD34CF1"/>
    <w:rsid w:val="2E440A2C"/>
    <w:rsid w:val="2EB60FB7"/>
    <w:rsid w:val="2EC519AD"/>
    <w:rsid w:val="2FE31AD2"/>
    <w:rsid w:val="30E53909"/>
    <w:rsid w:val="3172765E"/>
    <w:rsid w:val="32877139"/>
    <w:rsid w:val="329820EC"/>
    <w:rsid w:val="3437693D"/>
    <w:rsid w:val="356678F7"/>
    <w:rsid w:val="35F40F8A"/>
    <w:rsid w:val="36683628"/>
    <w:rsid w:val="37C67A38"/>
    <w:rsid w:val="3A363B0D"/>
    <w:rsid w:val="3CFC24D2"/>
    <w:rsid w:val="3DC5629B"/>
    <w:rsid w:val="3E396DC9"/>
    <w:rsid w:val="3F454604"/>
    <w:rsid w:val="40A62E81"/>
    <w:rsid w:val="428216CB"/>
    <w:rsid w:val="43BD17FC"/>
    <w:rsid w:val="44366C11"/>
    <w:rsid w:val="448434D9"/>
    <w:rsid w:val="44B00772"/>
    <w:rsid w:val="46BD0F24"/>
    <w:rsid w:val="46E12E64"/>
    <w:rsid w:val="4712301E"/>
    <w:rsid w:val="47615D53"/>
    <w:rsid w:val="477912EF"/>
    <w:rsid w:val="479E48B1"/>
    <w:rsid w:val="49B15FF9"/>
    <w:rsid w:val="4AE47FCD"/>
    <w:rsid w:val="4B9009B5"/>
    <w:rsid w:val="4E5B174E"/>
    <w:rsid w:val="4F776199"/>
    <w:rsid w:val="4FD249E8"/>
    <w:rsid w:val="50D37CC2"/>
    <w:rsid w:val="5268268C"/>
    <w:rsid w:val="53E17D94"/>
    <w:rsid w:val="55C14BC0"/>
    <w:rsid w:val="567C04B4"/>
    <w:rsid w:val="57B819BF"/>
    <w:rsid w:val="5A785436"/>
    <w:rsid w:val="5A957D96"/>
    <w:rsid w:val="5ADF3707"/>
    <w:rsid w:val="5B2D747B"/>
    <w:rsid w:val="5B4A7FC8"/>
    <w:rsid w:val="5D755C5D"/>
    <w:rsid w:val="5F2046ED"/>
    <w:rsid w:val="5F526256"/>
    <w:rsid w:val="60ED509A"/>
    <w:rsid w:val="610F0A8B"/>
    <w:rsid w:val="63D27772"/>
    <w:rsid w:val="64646320"/>
    <w:rsid w:val="64750A3B"/>
    <w:rsid w:val="64D37E39"/>
    <w:rsid w:val="650649A1"/>
    <w:rsid w:val="6765657F"/>
    <w:rsid w:val="68BD2115"/>
    <w:rsid w:val="6B1E5B86"/>
    <w:rsid w:val="6C5F785E"/>
    <w:rsid w:val="6D1159A2"/>
    <w:rsid w:val="6D43225C"/>
    <w:rsid w:val="6E5F7E66"/>
    <w:rsid w:val="6E810905"/>
    <w:rsid w:val="6EFA1620"/>
    <w:rsid w:val="6FAC7C04"/>
    <w:rsid w:val="70B86135"/>
    <w:rsid w:val="70C4340A"/>
    <w:rsid w:val="70F8164C"/>
    <w:rsid w:val="75AA6994"/>
    <w:rsid w:val="763E7EAF"/>
    <w:rsid w:val="77A840D6"/>
    <w:rsid w:val="7A574C10"/>
    <w:rsid w:val="7C8B2109"/>
    <w:rsid w:val="7CD75B94"/>
    <w:rsid w:val="7EC2663B"/>
    <w:rsid w:val="7FCC5758"/>
    <w:rsid w:val="E335CA1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line="312" w:lineRule="atLeast"/>
      <w:ind w:left="420" w:leftChars="200"/>
    </w:pPr>
    <w:rPr>
      <w:rFonts w:ascii="Times New Roman" w:hAnsi="Times New Roman" w:eastAsia="宋体" w:cs="Times New Roman"/>
      <w:szCs w:val="20"/>
      <w:lang w:eastAsia="en-US"/>
    </w:rPr>
  </w:style>
  <w:style w:type="paragraph" w:styleId="4">
    <w:name w:val="Body Text"/>
    <w:basedOn w:val="1"/>
    <w:semiHidden/>
    <w:qFormat/>
    <w:uiPriority w:val="0"/>
    <w:rPr>
      <w:rFonts w:ascii="楷体" w:hAnsi="楷体" w:eastAsia="楷体" w:cs="楷体"/>
      <w:sz w:val="28"/>
      <w:szCs w:val="28"/>
      <w:lang w:val="en-US" w:eastAsia="en-US" w:bidi="ar-SA"/>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table" w:customStyle="1" w:styleId="9">
    <w:name w:val="Table Normal"/>
    <w:semiHidden/>
    <w:unhideWhenUsed/>
    <w:qFormat/>
    <w:uiPriority w:val="0"/>
    <w:tblPr>
      <w:tblCellMar>
        <w:top w:w="0" w:type="dxa"/>
        <w:left w:w="0" w:type="dxa"/>
        <w:bottom w:w="0" w:type="dxa"/>
        <w:right w:w="0" w:type="dxa"/>
      </w:tblCellMar>
    </w:tblPr>
  </w:style>
  <w:style w:type="paragraph" w:customStyle="1" w:styleId="10">
    <w:name w:val="Table Text"/>
    <w:basedOn w:val="1"/>
    <w:semiHidden/>
    <w:qFormat/>
    <w:uiPriority w:val="0"/>
    <w:rPr>
      <w:rFonts w:ascii="Arial" w:hAnsi="Arial" w:eastAsia="Arial" w:cs="Arial"/>
      <w:sz w:val="21"/>
      <w:szCs w:val="21"/>
      <w:lang w:val="en-US" w:eastAsia="en-US" w:bidi="ar-SA"/>
    </w:rPr>
  </w:style>
  <w:style w:type="paragraph" w:customStyle="1" w:styleId="11">
    <w:name w:val="Table Paragraph"/>
    <w:basedOn w:val="1"/>
    <w:qFormat/>
    <w:uiPriority w:val="1"/>
    <w:pPr>
      <w:jc w:val="center"/>
    </w:pPr>
    <w:rPr>
      <w:rFonts w:ascii="楷体" w:hAnsi="楷体" w:eastAsia="楷体" w:cs="楷体"/>
      <w:lang w:val="zh-CN" w:eastAsia="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20</Pages>
  <Words>9089</Words>
  <Characters>9857</Characters>
  <TotalTime>6</TotalTime>
  <ScaleCrop>false</ScaleCrop>
  <LinksUpToDate>false</LinksUpToDate>
  <CharactersWithSpaces>10441</CharactersWithSpaces>
  <Application>WPS Office_7.2.2.8955_F1E327BC-269C-435d-A152-05C5408002CA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2019-06-26T18:28:00Z</dcterms:created>
  <dc:creator>LYJ</dc:creator>
  <cp:lastModifiedBy>高飞</cp:lastModifiedBy>
  <dcterms:modified xsi:type="dcterms:W3CDTF">2026-06-16T09:06:48Z</dcterms:modified>
  <dc:title>审核覆盖过程、活动传递表</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2023-08-07T10:32:04Z</vt:filetime>
  </property>
  <property fmtid="{D5CDD505-2E9C-101B-9397-08002B2CF9AE}" pid="4" name="KSOProductBuildVer">
    <vt:lpwstr>2052-7.2.2.8955</vt:lpwstr>
  </property>
  <property fmtid="{D5CDD505-2E9C-101B-9397-08002B2CF9AE}" pid="5" name="ICV">
    <vt:lpwstr>55474D73D20440CFA90AFDA8809C8331_12</vt:lpwstr>
  </property>
  <property fmtid="{D5CDD505-2E9C-101B-9397-08002B2CF9AE}" pid="6" name="KSOTemplateDocerSaveRecord">
    <vt:lpwstr>eyJoZGlkIjoiNzM2NTJlOGY3MWNkOTNiZTNjMzIyNTM4NDJhMjE1NmMiLCJ1c2VySWQiOiIxNDQwMTc2MDk0In0=</vt:lpwstr>
  </property>
</Properties>
</file>